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50" w:rsidRPr="00174A50" w:rsidRDefault="005F4748" w:rsidP="00414961">
      <w:pPr>
        <w:pStyle w:val="JLLrubrik"/>
        <w:spacing w:before="40"/>
        <w:ind w:left="4" w:right="-85"/>
        <w:jc w:val="left"/>
        <w:rPr>
          <w:b w:val="0"/>
          <w:bCs/>
          <w:smallCaps w:val="0"/>
          <w:color w:val="FF0000"/>
          <w:sz w:val="24"/>
        </w:rPr>
      </w:pPr>
      <w:r w:rsidRPr="005F4748">
        <w:rPr>
          <w:b w:val="0"/>
          <w:bCs/>
          <w:smallCaps w:val="0"/>
          <w:noProof/>
          <w:sz w:val="20"/>
        </w:rPr>
        <w:pict>
          <v:rect id="_x0000_s1028" style="position:absolute;left:0;text-align:left;margin-left:-30.85pt;margin-top:2.65pt;width:513pt;height:10in;z-index:251657728;mso-position-horizontal-relative:text;mso-position-vertical-relative:text" filled="f" strokecolor="#00415d"/>
        </w:pict>
      </w:r>
      <w:r w:rsidR="00174A50">
        <w:rPr>
          <w:b w:val="0"/>
          <w:bCs/>
          <w:smallCaps w:val="0"/>
          <w:noProof/>
          <w:sz w:val="36"/>
        </w:rPr>
        <w:br/>
      </w:r>
    </w:p>
    <w:p w:rsidR="00395EC5" w:rsidRDefault="00395EC5" w:rsidP="00414961">
      <w:pPr>
        <w:spacing w:after="480"/>
        <w:ind w:left="142"/>
        <w:rPr>
          <w:noProof/>
        </w:rPr>
      </w:pPr>
      <w:r w:rsidRPr="00395EC5">
        <w:rPr>
          <w:noProof/>
        </w:rPr>
        <w:drawing>
          <wp:inline distT="0" distB="0" distL="0" distR="0">
            <wp:extent cx="1666075" cy="610765"/>
            <wp:effectExtent l="19050" t="0" r="0" b="0"/>
            <wp:docPr id="26" name="Bild 2" descr="H:\Mina Dokument\My Pictures\Berg_liggande_samis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ina Dokument\My Pictures\Berg_liggande_samisk_RGB.png"/>
                    <pic:cNvPicPr>
                      <a:picLocks noChangeAspect="1" noChangeArrowheads="1"/>
                    </pic:cNvPicPr>
                  </pic:nvPicPr>
                  <pic:blipFill>
                    <a:blip r:embed="rId9" cstate="print"/>
                    <a:srcRect/>
                    <a:stretch>
                      <a:fillRect/>
                    </a:stretch>
                  </pic:blipFill>
                  <pic:spPr bwMode="auto">
                    <a:xfrm>
                      <a:off x="0" y="0"/>
                      <a:ext cx="1666075" cy="610765"/>
                    </a:xfrm>
                    <a:prstGeom prst="rect">
                      <a:avLst/>
                    </a:prstGeom>
                    <a:noFill/>
                    <a:ln w="9525">
                      <a:noFill/>
                      <a:miter lim="800000"/>
                      <a:headEnd/>
                      <a:tailEnd/>
                    </a:ln>
                  </pic:spPr>
                </pic:pic>
              </a:graphicData>
            </a:graphic>
          </wp:inline>
        </w:drawing>
      </w:r>
      <w:r>
        <w:rPr>
          <w:noProof/>
        </w:rPr>
        <w:t xml:space="preserve">     </w:t>
      </w:r>
      <w:r w:rsidRPr="00395EC5">
        <w:rPr>
          <w:noProof/>
        </w:rPr>
        <w:drawing>
          <wp:inline distT="0" distB="0" distL="0" distR="0">
            <wp:extent cx="1895475" cy="552450"/>
            <wp:effectExtent l="19050" t="0" r="9525" b="0"/>
            <wp:docPr id="27" name="Bild 25" descr="http://www.bracke.se/images/200.4cfea88f1280b0a9a5380002296/Brackeva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racke.se/images/200.4cfea88f1280b0a9a5380002296/Brackevapen.jpg"/>
                    <pic:cNvPicPr>
                      <a:picLocks noChangeAspect="1" noChangeArrowheads="1"/>
                    </pic:cNvPicPr>
                  </pic:nvPicPr>
                  <pic:blipFill>
                    <a:blip r:embed="rId10" cstate="print"/>
                    <a:srcRect/>
                    <a:stretch>
                      <a:fillRect/>
                    </a:stretch>
                  </pic:blipFill>
                  <pic:spPr bwMode="auto">
                    <a:xfrm>
                      <a:off x="0" y="0"/>
                      <a:ext cx="1895475" cy="552450"/>
                    </a:xfrm>
                    <a:prstGeom prst="rect">
                      <a:avLst/>
                    </a:prstGeom>
                    <a:noFill/>
                    <a:ln w="9525">
                      <a:noFill/>
                      <a:miter lim="800000"/>
                      <a:headEnd/>
                      <a:tailEnd/>
                    </a:ln>
                  </pic:spPr>
                </pic:pic>
              </a:graphicData>
            </a:graphic>
          </wp:inline>
        </w:drawing>
      </w:r>
      <w:r w:rsidR="002C3807">
        <w:rPr>
          <w:noProof/>
        </w:rPr>
        <w:t xml:space="preserve">   </w:t>
      </w:r>
      <w:r w:rsidR="002C3807" w:rsidRPr="002C3807">
        <w:rPr>
          <w:noProof/>
        </w:rPr>
        <w:drawing>
          <wp:inline distT="0" distB="0" distL="0" distR="0">
            <wp:extent cx="1905000" cy="638175"/>
            <wp:effectExtent l="19050" t="0" r="0" b="0"/>
            <wp:docPr id="28" name="Bild 28"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yp"/>
                    <pic:cNvPicPr>
                      <a:picLocks noChangeAspect="1" noChangeArrowheads="1"/>
                    </pic:cNvPicPr>
                  </pic:nvPicPr>
                  <pic:blipFill>
                    <a:blip r:embed="rId11" cstate="print"/>
                    <a:srcRect/>
                    <a:stretch>
                      <a:fillRect/>
                    </a:stretch>
                  </pic:blipFill>
                  <pic:spPr bwMode="auto">
                    <a:xfrm>
                      <a:off x="0" y="0"/>
                      <a:ext cx="1905000" cy="638175"/>
                    </a:xfrm>
                    <a:prstGeom prst="rect">
                      <a:avLst/>
                    </a:prstGeom>
                    <a:noFill/>
                    <a:ln w="9525">
                      <a:noFill/>
                      <a:miter lim="800000"/>
                      <a:headEnd/>
                      <a:tailEnd/>
                    </a:ln>
                  </pic:spPr>
                </pic:pic>
              </a:graphicData>
            </a:graphic>
          </wp:inline>
        </w:drawing>
      </w:r>
    </w:p>
    <w:p w:rsidR="00395EC5" w:rsidRDefault="002C3807" w:rsidP="002C3807">
      <w:pPr>
        <w:spacing w:after="480"/>
        <w:rPr>
          <w:noProof/>
        </w:rPr>
      </w:pPr>
      <w:r w:rsidRPr="002C3807">
        <w:rPr>
          <w:noProof/>
        </w:rPr>
        <w:drawing>
          <wp:inline distT="0" distB="0" distL="0" distR="0">
            <wp:extent cx="666930" cy="1035808"/>
            <wp:effectExtent l="19050" t="0" r="0" b="0"/>
            <wp:docPr id="30" name="Bildobjekt 9" descr="Logga Krokom_ståend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Krokom_stående_cmyk.jpg"/>
                    <pic:cNvPicPr/>
                  </pic:nvPicPr>
                  <pic:blipFill>
                    <a:blip r:embed="rId12" cstate="print"/>
                    <a:stretch>
                      <a:fillRect/>
                    </a:stretch>
                  </pic:blipFill>
                  <pic:spPr>
                    <a:xfrm>
                      <a:off x="0" y="0"/>
                      <a:ext cx="666930" cy="1035808"/>
                    </a:xfrm>
                    <a:prstGeom prst="rect">
                      <a:avLst/>
                    </a:prstGeom>
                  </pic:spPr>
                </pic:pic>
              </a:graphicData>
            </a:graphic>
          </wp:inline>
        </w:drawing>
      </w:r>
      <w:r>
        <w:rPr>
          <w:noProof/>
        </w:rPr>
        <w:t xml:space="preserve">      </w:t>
      </w:r>
      <w:r w:rsidR="00395EC5">
        <w:rPr>
          <w:noProof/>
        </w:rPr>
        <w:t xml:space="preserve"> </w:t>
      </w:r>
      <w:r w:rsidRPr="002C3807">
        <w:rPr>
          <w:noProof/>
        </w:rPr>
        <w:drawing>
          <wp:inline distT="0" distB="0" distL="0" distR="0">
            <wp:extent cx="1714500" cy="405765"/>
            <wp:effectExtent l="19050" t="0" r="0" b="0"/>
            <wp:docPr id="31" name="Bild 3" descr="Ragunda kommuns logotyp">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gunda kommuns logotyp">
                      <a:hlinkClick r:id="rId13" tooltip="&quot;&quot;"/>
                    </pic:cNvPr>
                    <pic:cNvPicPr>
                      <a:picLocks noChangeAspect="1" noChangeArrowheads="1"/>
                    </pic:cNvPicPr>
                  </pic:nvPicPr>
                  <pic:blipFill>
                    <a:blip r:embed="rId14" cstate="print"/>
                    <a:srcRect/>
                    <a:stretch>
                      <a:fillRect/>
                    </a:stretch>
                  </pic:blipFill>
                  <pic:spPr bwMode="auto">
                    <a:xfrm>
                      <a:off x="0" y="0"/>
                      <a:ext cx="1714500" cy="405765"/>
                    </a:xfrm>
                    <a:prstGeom prst="rect">
                      <a:avLst/>
                    </a:prstGeom>
                    <a:noFill/>
                    <a:ln w="9525">
                      <a:noFill/>
                      <a:miter lim="800000"/>
                      <a:headEnd/>
                      <a:tailEnd/>
                    </a:ln>
                  </pic:spPr>
                </pic:pic>
              </a:graphicData>
            </a:graphic>
          </wp:inline>
        </w:drawing>
      </w:r>
      <w:r>
        <w:rPr>
          <w:noProof/>
        </w:rPr>
        <w:t xml:space="preserve">   </w:t>
      </w:r>
      <w:r w:rsidRPr="002C3807">
        <w:rPr>
          <w:noProof/>
        </w:rPr>
        <w:drawing>
          <wp:inline distT="0" distB="0" distL="0" distR="0">
            <wp:extent cx="742950" cy="923925"/>
            <wp:effectExtent l="19050" t="0" r="0" b="0"/>
            <wp:docPr id="33" name="Bild 2" descr="H:\Mina Dokument\My Pictures\Ströms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ina Dokument\My Pictures\Strömsund.jpg"/>
                    <pic:cNvPicPr>
                      <a:picLocks noChangeAspect="1" noChangeArrowheads="1"/>
                    </pic:cNvPicPr>
                  </pic:nvPicPr>
                  <pic:blipFill>
                    <a:blip r:embed="rId15" cstate="print"/>
                    <a:srcRect/>
                    <a:stretch>
                      <a:fillRect/>
                    </a:stretch>
                  </pic:blipFill>
                  <pic:spPr bwMode="auto">
                    <a:xfrm>
                      <a:off x="0" y="0"/>
                      <a:ext cx="742950" cy="923925"/>
                    </a:xfrm>
                    <a:prstGeom prst="rect">
                      <a:avLst/>
                    </a:prstGeom>
                    <a:noFill/>
                    <a:ln w="9525">
                      <a:noFill/>
                      <a:miter lim="800000"/>
                      <a:headEnd/>
                      <a:tailEnd/>
                    </a:ln>
                  </pic:spPr>
                </pic:pic>
              </a:graphicData>
            </a:graphic>
          </wp:inline>
        </w:drawing>
      </w:r>
      <w:r>
        <w:rPr>
          <w:noProof/>
        </w:rPr>
        <w:t xml:space="preserve">    </w:t>
      </w:r>
      <w:r w:rsidRPr="002C3807">
        <w:rPr>
          <w:noProof/>
        </w:rPr>
        <w:drawing>
          <wp:inline distT="0" distB="0" distL="0" distR="0">
            <wp:extent cx="1057275" cy="496919"/>
            <wp:effectExtent l="19050" t="0" r="9525" b="0"/>
            <wp:docPr id="40" name="Bild 19" descr="M:\Documents and Settings\injo9\Local Settings\Temporary Internet Files\Content.IE5\2NF5OS4I\AreKommunLogg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Documents and Settings\injo9\Local Settings\Temporary Internet Files\Content.IE5\2NF5OS4I\AreKommunLogga[1].gif"/>
                    <pic:cNvPicPr>
                      <a:picLocks noChangeAspect="1" noChangeArrowheads="1"/>
                    </pic:cNvPicPr>
                  </pic:nvPicPr>
                  <pic:blipFill>
                    <a:blip r:embed="rId16" cstate="print"/>
                    <a:srcRect/>
                    <a:stretch>
                      <a:fillRect/>
                    </a:stretch>
                  </pic:blipFill>
                  <pic:spPr bwMode="auto">
                    <a:xfrm>
                      <a:off x="0" y="0"/>
                      <a:ext cx="1057275" cy="496919"/>
                    </a:xfrm>
                    <a:prstGeom prst="rect">
                      <a:avLst/>
                    </a:prstGeom>
                    <a:noFill/>
                    <a:ln w="9525">
                      <a:noFill/>
                      <a:miter lim="800000"/>
                      <a:headEnd/>
                      <a:tailEnd/>
                    </a:ln>
                  </pic:spPr>
                </pic:pic>
              </a:graphicData>
            </a:graphic>
          </wp:inline>
        </w:drawing>
      </w:r>
      <w:r>
        <w:rPr>
          <w:noProof/>
        </w:rPr>
        <w:t xml:space="preserve">     </w:t>
      </w:r>
      <w:r w:rsidRPr="002C3807">
        <w:rPr>
          <w:noProof/>
        </w:rPr>
        <w:drawing>
          <wp:inline distT="0" distB="0" distL="0" distR="0">
            <wp:extent cx="590550" cy="1110234"/>
            <wp:effectExtent l="19050" t="0" r="0" b="0"/>
            <wp:docPr id="41" name="Bild 31" descr="Östersunds 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Östersunds kommunvapen"/>
                    <pic:cNvPicPr>
                      <a:picLocks noChangeAspect="1" noChangeArrowheads="1"/>
                    </pic:cNvPicPr>
                  </pic:nvPicPr>
                  <pic:blipFill>
                    <a:blip r:embed="rId17" cstate="print"/>
                    <a:srcRect/>
                    <a:stretch>
                      <a:fillRect/>
                    </a:stretch>
                  </pic:blipFill>
                  <pic:spPr bwMode="auto">
                    <a:xfrm>
                      <a:off x="0" y="0"/>
                      <a:ext cx="590550" cy="1110234"/>
                    </a:xfrm>
                    <a:prstGeom prst="rect">
                      <a:avLst/>
                    </a:prstGeom>
                    <a:noFill/>
                    <a:ln w="9525">
                      <a:noFill/>
                      <a:miter lim="800000"/>
                      <a:headEnd/>
                      <a:tailEnd/>
                    </a:ln>
                  </pic:spPr>
                </pic:pic>
              </a:graphicData>
            </a:graphic>
          </wp:inline>
        </w:drawing>
      </w:r>
    </w:p>
    <w:p w:rsidR="00CC5A56" w:rsidRPr="002C3807" w:rsidRDefault="005F4748" w:rsidP="002C3807">
      <w:pPr>
        <w:spacing w:after="480"/>
      </w:pPr>
      <w:r w:rsidRPr="005F4748">
        <w:rPr>
          <w:b/>
          <w:bCs/>
          <w:smallCaps/>
          <w:noProof/>
          <w:sz w:val="20"/>
        </w:rPr>
        <w:pict>
          <v:shapetype id="_x0000_t202" coordsize="21600,21600" o:spt="202" path="m,l,21600r21600,l21600,xe">
            <v:stroke joinstyle="miter"/>
            <v:path gradientshapeok="t" o:connecttype="rect"/>
          </v:shapetype>
          <v:shape id="_x0000_s1027" type="#_x0000_t202" style="position:absolute;margin-left:-2.7pt;margin-top:174.8pt;width:451.55pt;height:315.15pt;z-index:251656704" filled="f" stroked="f">
            <v:textbox style="mso-next-textbox:#_x0000_s1027">
              <w:txbxContent>
                <w:p w:rsidR="00804B24" w:rsidRPr="00E414DF" w:rsidRDefault="00804B24">
                  <w:pPr>
                    <w:pStyle w:val="JLLrubrik"/>
                    <w:rPr>
                      <w:sz w:val="36"/>
                      <w:szCs w:val="36"/>
                    </w:rPr>
                  </w:pPr>
                  <w:r w:rsidRPr="00E414DF">
                    <w:rPr>
                      <w:sz w:val="36"/>
                      <w:szCs w:val="36"/>
                    </w:rPr>
                    <w:t xml:space="preserve">MÅL FÖR </w:t>
                  </w:r>
                </w:p>
                <w:p w:rsidR="00804B24" w:rsidRPr="00E414DF" w:rsidRDefault="00804B24" w:rsidP="00E414DF">
                  <w:pPr>
                    <w:pStyle w:val="JLLrubrik"/>
                    <w:rPr>
                      <w:sz w:val="36"/>
                      <w:szCs w:val="36"/>
                    </w:rPr>
                  </w:pPr>
                  <w:r w:rsidRPr="00E414DF">
                    <w:rPr>
                      <w:sz w:val="36"/>
                      <w:szCs w:val="36"/>
                    </w:rPr>
                    <w:t xml:space="preserve">GEMENSAM HÄLSO- OCH SJUKVÅRDSPOLITIK </w:t>
                  </w:r>
                </w:p>
                <w:p w:rsidR="00804B24" w:rsidRPr="00E414DF" w:rsidRDefault="00804B24" w:rsidP="00E414DF">
                  <w:pPr>
                    <w:pStyle w:val="JLLrubrik"/>
                    <w:rPr>
                      <w:sz w:val="36"/>
                      <w:szCs w:val="36"/>
                    </w:rPr>
                  </w:pPr>
                  <w:r w:rsidRPr="00E414DF">
                    <w:rPr>
                      <w:sz w:val="36"/>
                      <w:szCs w:val="36"/>
                    </w:rPr>
                    <w:t xml:space="preserve">i jämtlands län                  </w:t>
                  </w:r>
                </w:p>
                <w:p w:rsidR="00804B24" w:rsidRPr="00E414DF" w:rsidRDefault="00804B24">
                  <w:pPr>
                    <w:pStyle w:val="JLLrubrik"/>
                    <w:rPr>
                      <w:sz w:val="36"/>
                      <w:szCs w:val="36"/>
                    </w:rPr>
                  </w:pPr>
                  <w:r w:rsidRPr="00E414DF">
                    <w:rPr>
                      <w:sz w:val="36"/>
                      <w:szCs w:val="36"/>
                    </w:rPr>
                    <w:t>2014-2025</w:t>
                  </w:r>
                </w:p>
                <w:p w:rsidR="00804B24" w:rsidRDefault="00804B24" w:rsidP="003202AC">
                  <w:pPr>
                    <w:pStyle w:val="JLLrubrik"/>
                    <w:jc w:val="left"/>
                    <w:rPr>
                      <w:sz w:val="36"/>
                    </w:rPr>
                  </w:pPr>
                </w:p>
                <w:p w:rsidR="00804B24" w:rsidRDefault="00804B24">
                  <w:pPr>
                    <w:pStyle w:val="JLLrubrik"/>
                    <w:spacing w:after="360"/>
                    <w:rPr>
                      <w:smallCaps w:val="0"/>
                      <w:sz w:val="24"/>
                    </w:rPr>
                  </w:pPr>
                  <w:r>
                    <w:rPr>
                      <w:smallCaps w:val="0"/>
                      <w:sz w:val="24"/>
                    </w:rPr>
                    <w:t>Version:  1</w:t>
                  </w:r>
                </w:p>
                <w:p w:rsidR="00804B24" w:rsidRDefault="00804B24">
                  <w:pPr>
                    <w:pStyle w:val="JLLrubrik"/>
                    <w:spacing w:after="360"/>
                    <w:rPr>
                      <w:smallCaps w:val="0"/>
                      <w:sz w:val="24"/>
                    </w:rPr>
                  </w:pPr>
                </w:p>
              </w:txbxContent>
            </v:textbox>
          </v:shape>
        </w:pict>
      </w:r>
      <w:r w:rsidR="002C3807" w:rsidRPr="002C3807">
        <w:rPr>
          <w:noProof/>
        </w:rPr>
        <w:drawing>
          <wp:inline distT="0" distB="0" distL="0" distR="0">
            <wp:extent cx="1304925" cy="1019175"/>
            <wp:effectExtent l="19050" t="0" r="9525" b="0"/>
            <wp:docPr id="43" name="Bild 5" descr="C:\Users\moby\AppData\Local\Microsoft\Windows\Temporary Internet Files\Content.Word\Regionfo¦êrbundet_logo_sta¦è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by\AppData\Local\Microsoft\Windows\Temporary Internet Files\Content.Word\Regionfo¦êrbundet_logo_sta¦è_cmyk.jpg"/>
                    <pic:cNvPicPr>
                      <a:picLocks noChangeAspect="1" noChangeArrowheads="1"/>
                    </pic:cNvPicPr>
                  </pic:nvPicPr>
                  <pic:blipFill>
                    <a:blip r:embed="rId18" cstate="print"/>
                    <a:srcRect/>
                    <a:stretch>
                      <a:fillRect/>
                    </a:stretch>
                  </pic:blipFill>
                  <pic:spPr bwMode="auto">
                    <a:xfrm>
                      <a:off x="0" y="0"/>
                      <a:ext cx="1304925" cy="1019175"/>
                    </a:xfrm>
                    <a:prstGeom prst="rect">
                      <a:avLst/>
                    </a:prstGeom>
                    <a:noFill/>
                    <a:ln w="9525">
                      <a:noFill/>
                      <a:miter lim="800000"/>
                      <a:headEnd/>
                      <a:tailEnd/>
                    </a:ln>
                  </pic:spPr>
                </pic:pic>
              </a:graphicData>
            </a:graphic>
          </wp:inline>
        </w:drawing>
      </w:r>
      <w:r w:rsidR="002C3807">
        <w:rPr>
          <w:noProof/>
        </w:rPr>
        <w:t xml:space="preserve">   </w:t>
      </w:r>
      <w:r w:rsidR="004E5C3A">
        <w:rPr>
          <w:noProof/>
        </w:rPr>
        <w:tab/>
      </w:r>
      <w:r w:rsidR="00737905">
        <w:rPr>
          <w:noProof/>
        </w:rPr>
        <w:t xml:space="preserve"> </w:t>
      </w:r>
      <w:r w:rsidR="002C3807" w:rsidRPr="002C3807">
        <w:rPr>
          <w:noProof/>
        </w:rPr>
        <w:drawing>
          <wp:inline distT="0" distB="0" distL="0" distR="0">
            <wp:extent cx="1863598" cy="813943"/>
            <wp:effectExtent l="0" t="0" r="0" b="0"/>
            <wp:docPr id="44" name="Bild 1" descr="C:\Users\moby\AppData\Local\Microsoft\Windows\Temporary Internet Files\Content.Word\JLL_li_e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by\AppData\Local\Microsoft\Windows\Temporary Internet Files\Content.Word\JLL_li_ec.eps"/>
                    <pic:cNvPicPr>
                      <a:picLocks noChangeAspect="1" noChangeArrowheads="1"/>
                    </pic:cNvPicPr>
                  </pic:nvPicPr>
                  <pic:blipFill>
                    <a:blip r:embed="rId19" cstate="print"/>
                    <a:srcRect/>
                    <a:stretch>
                      <a:fillRect/>
                    </a:stretch>
                  </pic:blipFill>
                  <pic:spPr bwMode="auto">
                    <a:xfrm>
                      <a:off x="0" y="0"/>
                      <a:ext cx="1863598" cy="813943"/>
                    </a:xfrm>
                    <a:prstGeom prst="rect">
                      <a:avLst/>
                    </a:prstGeom>
                    <a:noFill/>
                    <a:ln w="9525">
                      <a:noFill/>
                      <a:miter lim="800000"/>
                      <a:headEnd/>
                      <a:tailEnd/>
                    </a:ln>
                  </pic:spPr>
                </pic:pic>
              </a:graphicData>
            </a:graphic>
          </wp:inline>
        </w:drawing>
      </w:r>
      <w:r w:rsidR="00CC5A56">
        <w:br w:type="page"/>
      </w:r>
      <w:r w:rsidRPr="005F4748">
        <w:rPr>
          <w:noProof/>
          <w:sz w:val="20"/>
        </w:rPr>
        <w:lastRenderedPageBreak/>
        <w:pict>
          <v:line id="_x0000_s1026" style="position:absolute;z-index:251655680" from="-3.85pt,24.55pt" to="482.15pt,24.55pt" strokecolor="#a20033" strokeweight="2.25pt"/>
        </w:pict>
      </w:r>
      <w:r w:rsidR="00CC5A56">
        <w:rPr>
          <w:rFonts w:ascii="Tahoma" w:hAnsi="Tahoma" w:cs="Tahoma"/>
          <w:b/>
          <w:smallCaps/>
          <w:spacing w:val="20"/>
          <w:sz w:val="40"/>
        </w:rPr>
        <w:t>Ändringsförteckning</w:t>
      </w:r>
    </w:p>
    <w:p w:rsidR="00CC5A56" w:rsidRDefault="00CC5A56">
      <w:pPr>
        <w:pStyle w:val="Brdtext"/>
      </w:pPr>
    </w:p>
    <w:tbl>
      <w:tblPr>
        <w:tblStyle w:val="Tabellrutnt"/>
        <w:tblW w:w="9465" w:type="dxa"/>
        <w:tblLayout w:type="fixed"/>
        <w:tblLook w:val="04A0"/>
      </w:tblPr>
      <w:tblGrid>
        <w:gridCol w:w="1243"/>
        <w:gridCol w:w="2126"/>
        <w:gridCol w:w="1275"/>
        <w:gridCol w:w="2552"/>
        <w:gridCol w:w="2269"/>
      </w:tblGrid>
      <w:tr w:rsidR="00E233C3" w:rsidTr="008422B8">
        <w:trPr>
          <w:trHeight w:val="397"/>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E233C3" w:rsidRDefault="00E233C3">
            <w:pPr>
              <w:pStyle w:val="JllLptext"/>
              <w:rPr>
                <w:rFonts w:ascii="Tahoma" w:hAnsi="Tahoma" w:cs="Tahoma"/>
                <w:b/>
                <w:szCs w:val="22"/>
              </w:rPr>
            </w:pPr>
            <w:r>
              <w:rPr>
                <w:rFonts w:ascii="Tahoma" w:hAnsi="Tahoma" w:cs="Tahoma"/>
                <w:b/>
                <w:szCs w:val="22"/>
              </w:rPr>
              <w:t>Version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E233C3" w:rsidRDefault="00E233C3">
            <w:pPr>
              <w:pStyle w:val="JllLptext"/>
              <w:rPr>
                <w:rFonts w:ascii="Tahoma" w:hAnsi="Tahoma" w:cs="Tahoma"/>
                <w:b/>
                <w:szCs w:val="22"/>
              </w:rPr>
            </w:pPr>
            <w:r>
              <w:rPr>
                <w:rFonts w:ascii="Tahoma" w:hAnsi="Tahoma" w:cs="Tahoma"/>
                <w:b/>
                <w:szCs w:val="22"/>
              </w:rPr>
              <w:t>Datum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E233C3" w:rsidRDefault="00E233C3">
            <w:pPr>
              <w:pStyle w:val="JllLptext"/>
              <w:rPr>
                <w:rFonts w:ascii="Tahoma" w:hAnsi="Tahoma" w:cs="Tahoma"/>
                <w:b/>
                <w:szCs w:val="22"/>
              </w:rPr>
            </w:pPr>
            <w:r>
              <w:rPr>
                <w:rFonts w:ascii="Tahoma" w:hAnsi="Tahoma" w:cs="Tahoma"/>
                <w:b/>
                <w:szCs w:val="22"/>
              </w:rPr>
              <w:t>Ändring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E233C3" w:rsidRDefault="00E233C3">
            <w:pPr>
              <w:pStyle w:val="JllLptext"/>
              <w:rPr>
                <w:rFonts w:ascii="Tahoma" w:hAnsi="Tahoma" w:cs="Tahoma"/>
                <w:b/>
                <w:szCs w:val="22"/>
              </w:rPr>
            </w:pPr>
            <w:r>
              <w:rPr>
                <w:rFonts w:ascii="Tahoma" w:hAnsi="Tahoma" w:cs="Tahoma"/>
                <w:b/>
                <w:szCs w:val="22"/>
              </w:rPr>
              <w:t>Beslutat av</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5" w:color="auto" w:fill="auto"/>
            <w:vAlign w:val="center"/>
            <w:hideMark/>
          </w:tcPr>
          <w:p w:rsidR="00E233C3" w:rsidRDefault="00E233C3">
            <w:pPr>
              <w:pStyle w:val="JllLptext"/>
              <w:rPr>
                <w:rFonts w:ascii="Tahoma" w:hAnsi="Tahoma" w:cs="Tahoma"/>
                <w:b/>
                <w:szCs w:val="22"/>
              </w:rPr>
            </w:pPr>
            <w:r>
              <w:rPr>
                <w:rFonts w:ascii="Tahoma" w:hAnsi="Tahoma" w:cs="Tahoma"/>
                <w:b/>
                <w:szCs w:val="22"/>
              </w:rPr>
              <w:t>Datum</w:t>
            </w:r>
          </w:p>
        </w:tc>
      </w:tr>
      <w:tr w:rsidR="00E233C3" w:rsidTr="008422B8">
        <w:trPr>
          <w:trHeight w:val="397"/>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C3" w:rsidRDefault="00E233C3" w:rsidP="00E233C3">
            <w:pPr>
              <w:pStyle w:val="Liststycke"/>
              <w:numPr>
                <w:ilvl w:val="0"/>
                <w:numId w:val="37"/>
              </w:numPr>
              <w:rPr>
                <w:rFonts w:ascii="Tahoma" w:hAnsi="Tahoma" w:cs="Tahom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C3" w:rsidRDefault="00E233C3">
            <w:pPr>
              <w:pStyle w:val="JllLptext"/>
              <w:rPr>
                <w:rFonts w:ascii="Tahoma" w:hAnsi="Tahoma" w:cs="Tahoma"/>
                <w:szCs w:val="22"/>
              </w:rPr>
            </w:pPr>
            <w:r>
              <w:rPr>
                <w:rFonts w:ascii="Tahoma" w:hAnsi="Tahoma" w:cs="Tahoma"/>
                <w:szCs w:val="22"/>
              </w:rPr>
              <w:t>2013-10-31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C3" w:rsidRDefault="00E233C3">
            <w:pPr>
              <w:pStyle w:val="JllLptext"/>
              <w:rPr>
                <w:rFonts w:ascii="Tahoma" w:hAnsi="Tahoma" w:cs="Tahoma"/>
                <w:szCs w:val="22"/>
              </w:rPr>
            </w:pPr>
            <w:r>
              <w:rPr>
                <w:rFonts w:ascii="Tahoma" w:hAnsi="Tahoma" w:cs="Tahoma"/>
                <w:szCs w:val="22"/>
              </w:rPr>
              <w:t>Nyutgåva</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C3" w:rsidRDefault="00E233C3">
            <w:pPr>
              <w:rPr>
                <w:rFonts w:ascii="Tahoma" w:hAnsi="Tahoma" w:cs="Tahoma"/>
                <w:sz w:val="22"/>
                <w:szCs w:val="22"/>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C3" w:rsidRDefault="00E233C3">
            <w:pPr>
              <w:rPr>
                <w:rFonts w:ascii="Tahoma" w:hAnsi="Tahoma" w:cs="Tahoma"/>
                <w:sz w:val="22"/>
                <w:szCs w:val="22"/>
              </w:rPr>
            </w:pPr>
          </w:p>
        </w:tc>
      </w:tr>
      <w:tr w:rsidR="003B1EF8" w:rsidTr="008422B8">
        <w:trPr>
          <w:trHeight w:val="397"/>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EF8" w:rsidRPr="003B1EF8" w:rsidRDefault="003B1EF8" w:rsidP="003B1EF8">
            <w:pPr>
              <w:ind w:left="360"/>
              <w:rPr>
                <w:rFonts w:ascii="Tahoma" w:hAnsi="Tahoma" w:cs="Tahoma"/>
              </w:rPr>
            </w:pPr>
            <w:r>
              <w:rPr>
                <w:rFonts w:ascii="Tahoma" w:hAnsi="Tahoma" w:cs="Tahoma"/>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EF8" w:rsidRDefault="003B1EF8">
            <w:pPr>
              <w:pStyle w:val="JllLptext"/>
              <w:rPr>
                <w:rFonts w:ascii="Tahoma" w:hAnsi="Tahoma" w:cs="Tahoma"/>
                <w:szCs w:val="22"/>
              </w:rPr>
            </w:pPr>
            <w:r>
              <w:rPr>
                <w:rFonts w:ascii="Tahoma" w:hAnsi="Tahoma" w:cs="Tahoma"/>
                <w:szCs w:val="22"/>
              </w:rPr>
              <w:t>2013-10-31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EF8" w:rsidRDefault="003B1EF8">
            <w:pPr>
              <w:pStyle w:val="JllLptext"/>
              <w:rPr>
                <w:rFonts w:ascii="Tahoma" w:hAnsi="Tahoma" w:cs="Tahoma"/>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EF8" w:rsidRDefault="003B1EF8" w:rsidP="003D2799">
            <w:pPr>
              <w:rPr>
                <w:rFonts w:ascii="Tahoma" w:hAnsi="Tahoma" w:cs="Tahoma"/>
                <w:sz w:val="22"/>
                <w:szCs w:val="22"/>
              </w:rPr>
            </w:pPr>
            <w:r>
              <w:rPr>
                <w:rFonts w:ascii="Tahoma" w:hAnsi="Tahoma" w:cs="Tahoma"/>
                <w:sz w:val="22"/>
                <w:szCs w:val="22"/>
              </w:rPr>
              <w:t>SVOM</w:t>
            </w:r>
            <w:r w:rsidR="003D2799">
              <w:rPr>
                <w:rFonts w:ascii="Tahoma" w:hAnsi="Tahoma" w:cs="Tahoma"/>
                <w:sz w:val="22"/>
                <w:szCs w:val="22"/>
              </w:rPr>
              <w:t xml:space="preserve">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EF8" w:rsidRDefault="003B1EF8">
            <w:pPr>
              <w:rPr>
                <w:rFonts w:ascii="Tahoma" w:hAnsi="Tahoma" w:cs="Tahoma"/>
                <w:sz w:val="22"/>
                <w:szCs w:val="22"/>
              </w:rPr>
            </w:pPr>
            <w:r>
              <w:rPr>
                <w:rFonts w:ascii="Tahoma" w:hAnsi="Tahoma" w:cs="Tahoma"/>
                <w:szCs w:val="22"/>
              </w:rPr>
              <w:t>2013-10-31</w:t>
            </w:r>
          </w:p>
        </w:tc>
      </w:tr>
      <w:tr w:rsidR="00E233C3" w:rsidTr="008422B8">
        <w:trPr>
          <w:trHeight w:val="397"/>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C3" w:rsidRDefault="00E233C3">
            <w:pPr>
              <w:ind w:left="360"/>
              <w:rPr>
                <w:rFonts w:ascii="Tahoma" w:hAnsi="Tahoma" w:cs="Tahoma"/>
                <w:sz w:val="22"/>
                <w:szCs w:val="22"/>
              </w:rPr>
            </w:pPr>
            <w:r>
              <w:rPr>
                <w:rFonts w:ascii="Tahoma" w:hAnsi="Tahoma" w:cs="Tahoma"/>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C3" w:rsidRDefault="008422B8">
            <w:pPr>
              <w:pStyle w:val="JllLptext"/>
              <w:rPr>
                <w:rFonts w:ascii="Tahoma" w:hAnsi="Tahoma" w:cs="Tahoma"/>
                <w:szCs w:val="22"/>
              </w:rPr>
            </w:pPr>
            <w:r>
              <w:rPr>
                <w:rFonts w:ascii="Tahoma" w:hAnsi="Tahoma" w:cs="Tahoma"/>
                <w:szCs w:val="22"/>
              </w:rPr>
              <w:t>2014-02-11</w:t>
            </w:r>
            <w:r w:rsidR="005C45CF">
              <w:rPr>
                <w:rFonts w:ascii="Tahoma" w:hAnsi="Tahoma" w:cs="Tahoma"/>
                <w:szCs w:val="22"/>
              </w:rPr>
              <w:t>—</w:t>
            </w:r>
            <w:r>
              <w:rPr>
                <w:rFonts w:ascii="Tahoma" w:hAnsi="Tahoma" w:cs="Tahoma"/>
                <w:szCs w:val="22"/>
              </w:rP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C3" w:rsidRDefault="00E233C3">
            <w:pPr>
              <w:pStyle w:val="JllLptext"/>
              <w:rPr>
                <w:rFonts w:ascii="Tahoma" w:hAnsi="Tahoma" w:cs="Tahoma"/>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C3" w:rsidRDefault="008422B8">
            <w:pPr>
              <w:rPr>
                <w:rFonts w:ascii="Tahoma" w:hAnsi="Tahoma" w:cs="Tahoma"/>
                <w:sz w:val="22"/>
                <w:szCs w:val="22"/>
              </w:rPr>
            </w:pPr>
            <w:r>
              <w:rPr>
                <w:rFonts w:ascii="Tahoma" w:hAnsi="Tahoma" w:cs="Tahoma"/>
              </w:rPr>
              <w:t>Landstingsfullmäktige</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C3" w:rsidRDefault="008422B8">
            <w:pPr>
              <w:rPr>
                <w:rFonts w:ascii="Tahoma" w:hAnsi="Tahoma" w:cs="Tahoma"/>
                <w:sz w:val="22"/>
                <w:szCs w:val="22"/>
              </w:rPr>
            </w:pPr>
            <w:r>
              <w:rPr>
                <w:rFonts w:ascii="Tahoma" w:hAnsi="Tahoma" w:cs="Tahoma"/>
                <w:szCs w:val="22"/>
              </w:rPr>
              <w:t>2014-02-11--12</w:t>
            </w:r>
          </w:p>
        </w:tc>
      </w:tr>
      <w:tr w:rsidR="00E233C3" w:rsidTr="008422B8">
        <w:trPr>
          <w:trHeight w:val="397"/>
        </w:trPr>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C3" w:rsidRDefault="00E233C3">
            <w:pPr>
              <w:ind w:left="360"/>
              <w:rPr>
                <w:rFonts w:ascii="Tahoma" w:hAnsi="Tahoma" w:cs="Tahoma"/>
                <w:sz w:val="22"/>
                <w:szCs w:val="22"/>
              </w:rPr>
            </w:pPr>
            <w:r>
              <w:rPr>
                <w:rFonts w:ascii="Tahoma" w:hAnsi="Tahoma" w:cs="Tahoma"/>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C3" w:rsidRDefault="008422B8">
            <w:pPr>
              <w:pStyle w:val="JllLptext"/>
              <w:rPr>
                <w:rFonts w:ascii="Tahoma" w:hAnsi="Tahoma" w:cs="Tahoma"/>
                <w:szCs w:val="22"/>
              </w:rPr>
            </w:pPr>
            <w:r>
              <w:rPr>
                <w:rFonts w:ascii="Tahoma" w:hAnsi="Tahoma" w:cs="Tahoma"/>
                <w:szCs w:val="22"/>
              </w:rPr>
              <w:t>2014-03-2014-06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C3" w:rsidRDefault="00E233C3">
            <w:pPr>
              <w:pStyle w:val="JllLptext"/>
              <w:rPr>
                <w:rFonts w:ascii="Tahoma" w:hAnsi="Tahoma" w:cs="Tahoma"/>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C3" w:rsidRDefault="008422B8">
            <w:pPr>
              <w:rPr>
                <w:rFonts w:ascii="Tahoma" w:hAnsi="Tahoma" w:cs="Tahoma"/>
                <w:sz w:val="22"/>
                <w:szCs w:val="22"/>
              </w:rPr>
            </w:pPr>
            <w:r>
              <w:rPr>
                <w:rFonts w:ascii="Tahoma" w:hAnsi="Tahoma" w:cs="Tahoma"/>
              </w:rPr>
              <w:t xml:space="preserve">Länets </w:t>
            </w:r>
            <w:r w:rsidR="00530159">
              <w:rPr>
                <w:rFonts w:ascii="Tahoma" w:hAnsi="Tahoma" w:cs="Tahoma"/>
              </w:rPr>
              <w:t xml:space="preserve">samtliga </w:t>
            </w:r>
            <w:r>
              <w:rPr>
                <w:rFonts w:ascii="Tahoma" w:hAnsi="Tahoma" w:cs="Tahoma"/>
              </w:rPr>
              <w:t>kommun</w:t>
            </w:r>
            <w:r w:rsidR="00E336E7">
              <w:rPr>
                <w:rFonts w:ascii="Tahoma" w:hAnsi="Tahoma" w:cs="Tahoma"/>
              </w:rPr>
              <w:t>er</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C3" w:rsidRDefault="008422B8">
            <w:pPr>
              <w:rPr>
                <w:rFonts w:ascii="Tahoma" w:hAnsi="Tahoma" w:cs="Tahoma"/>
                <w:sz w:val="22"/>
                <w:szCs w:val="22"/>
              </w:rPr>
            </w:pPr>
            <w:r>
              <w:rPr>
                <w:rFonts w:ascii="Tahoma" w:hAnsi="Tahoma" w:cs="Tahoma"/>
                <w:szCs w:val="22"/>
              </w:rPr>
              <w:t>2014-03-2014-06</w:t>
            </w:r>
          </w:p>
        </w:tc>
      </w:tr>
    </w:tbl>
    <w:p w:rsidR="00E233C3" w:rsidRDefault="00E233C3">
      <w:pPr>
        <w:pStyle w:val="Brdtext"/>
      </w:pPr>
    </w:p>
    <w:p w:rsidR="00CC5A56" w:rsidRDefault="00CC5A56">
      <w:pPr>
        <w:pStyle w:val="Brdtext"/>
      </w:pPr>
    </w:p>
    <w:p w:rsidR="008777A1" w:rsidRPr="00E414DF" w:rsidRDefault="008777A1" w:rsidP="008777A1">
      <w:pPr>
        <w:pStyle w:val="Brdtext"/>
        <w:spacing w:before="80" w:after="80"/>
        <w:ind w:left="71" w:right="-70"/>
        <w:rPr>
          <w:b/>
          <w:sz w:val="32"/>
        </w:rPr>
      </w:pPr>
      <w:r w:rsidRPr="00E414DF">
        <w:rPr>
          <w:b/>
          <w:sz w:val="32"/>
        </w:rPr>
        <w:t>Förklaring till vilka större revideringar som gjorts</w:t>
      </w:r>
      <w:r w:rsidR="00E414DF" w:rsidRPr="00E414DF">
        <w:rPr>
          <w:b/>
          <w:sz w:val="32"/>
        </w:rPr>
        <w:t xml:space="preserve"> </w:t>
      </w:r>
      <w:r w:rsidR="005F46E7" w:rsidRPr="00F01DE3">
        <w:rPr>
          <w:b/>
          <w:color w:val="000000" w:themeColor="text1"/>
          <w:sz w:val="32"/>
        </w:rPr>
        <w:t xml:space="preserve">efter </w:t>
      </w:r>
      <w:r w:rsidR="00E414DF" w:rsidRPr="00E414DF">
        <w:rPr>
          <w:b/>
          <w:sz w:val="32"/>
        </w:rPr>
        <w:t>remissvaren</w:t>
      </w:r>
    </w:p>
    <w:p w:rsidR="008777A1" w:rsidRPr="00E414DF" w:rsidRDefault="008777A1" w:rsidP="008777A1">
      <w:pPr>
        <w:pStyle w:val="Brdtext"/>
        <w:spacing w:before="80" w:after="80"/>
        <w:ind w:left="71" w:right="-70"/>
      </w:pPr>
      <w:r w:rsidRPr="00E414DF">
        <w:t>Kap 1 Inledning och bakgrund – kortad o</w:t>
      </w:r>
      <w:r w:rsidR="008E2469">
        <w:t>ch</w:t>
      </w:r>
      <w:r w:rsidRPr="00E414DF">
        <w:t xml:space="preserve"> ändrad till politisk inledning</w:t>
      </w:r>
      <w:r w:rsidR="008E2469">
        <w:t>.</w:t>
      </w:r>
    </w:p>
    <w:p w:rsidR="008777A1" w:rsidRDefault="008777A1" w:rsidP="008777A1">
      <w:pPr>
        <w:pStyle w:val="Brdtext"/>
        <w:spacing w:before="80" w:after="80"/>
        <w:ind w:left="71" w:right="-70"/>
      </w:pPr>
      <w:r w:rsidRPr="00E414DF">
        <w:t xml:space="preserve">Kap 2 </w:t>
      </w:r>
      <w:r w:rsidR="008E2469">
        <w:t>P</w:t>
      </w:r>
      <w:r w:rsidRPr="00E414DF">
        <w:t xml:space="preserve">rocessen fram till detta förslag och kap 3 </w:t>
      </w:r>
      <w:r w:rsidR="008E2469">
        <w:t>P</w:t>
      </w:r>
      <w:r w:rsidRPr="00E414DF">
        <w:t>rocessen framåt – borttagna</w:t>
      </w:r>
      <w:r w:rsidR="008E2469">
        <w:t xml:space="preserve">. </w:t>
      </w:r>
      <w:r w:rsidRPr="00E414DF">
        <w:t xml:space="preserve">Istället </w:t>
      </w:r>
      <w:r w:rsidR="008E2469">
        <w:t xml:space="preserve">finns </w:t>
      </w:r>
      <w:r w:rsidRPr="00E414DF">
        <w:t>ett nytt kapitel med läget i länet när måldokumentet startar</w:t>
      </w:r>
      <w:r w:rsidR="008E2469">
        <w:t>.</w:t>
      </w:r>
    </w:p>
    <w:p w:rsidR="008E2469" w:rsidRDefault="008777A1" w:rsidP="008022F8">
      <w:pPr>
        <w:pStyle w:val="Brdtext"/>
        <w:spacing w:before="80" w:after="80"/>
        <w:ind w:right="-70"/>
      </w:pPr>
      <w:r w:rsidRPr="00E414DF">
        <w:t xml:space="preserve">Kap 4 – </w:t>
      </w:r>
      <w:r w:rsidR="00E64A28" w:rsidRPr="00E414DF">
        <w:t xml:space="preserve">har delats upp i kap 3 om andra styrande dokument och kap 4 </w:t>
      </w:r>
      <w:r w:rsidR="008E2469">
        <w:t xml:space="preserve">som </w:t>
      </w:r>
      <w:r w:rsidR="00E414DF" w:rsidRPr="00E414DF">
        <w:t xml:space="preserve">är </w:t>
      </w:r>
      <w:r w:rsidR="00E64A28" w:rsidRPr="00E414DF">
        <w:t>det nya målkapitlet</w:t>
      </w:r>
      <w:r w:rsidR="00E414DF" w:rsidRPr="00E414DF">
        <w:t>.</w:t>
      </w:r>
      <w:r w:rsidR="00E64A28" w:rsidRPr="00E414DF">
        <w:t xml:space="preserve"> </w:t>
      </w:r>
      <w:r w:rsidR="008E2469">
        <w:t xml:space="preserve">  </w:t>
      </w:r>
    </w:p>
    <w:p w:rsidR="008777A1" w:rsidRDefault="00E414DF" w:rsidP="008777A1">
      <w:pPr>
        <w:pStyle w:val="Brdtext"/>
        <w:spacing w:before="80" w:after="80"/>
        <w:ind w:left="71" w:right="-70"/>
      </w:pPr>
      <w:r w:rsidRPr="00E414DF">
        <w:t>A</w:t>
      </w:r>
      <w:r w:rsidR="00E64A28" w:rsidRPr="00E414DF">
        <w:t>lla 4 mål har samma dignitet</w:t>
      </w:r>
      <w:r w:rsidR="008E2469">
        <w:t>,</w:t>
      </w:r>
      <w:r w:rsidR="00E64A28" w:rsidRPr="00E414DF">
        <w:t xml:space="preserve"> dvs samverkansmålet med </w:t>
      </w:r>
      <w:r w:rsidR="008E2469">
        <w:t>A</w:t>
      </w:r>
      <w:r w:rsidR="00E64A28" w:rsidRPr="00E414DF">
        <w:t xml:space="preserve">renan </w:t>
      </w:r>
      <w:r w:rsidRPr="00E414DF">
        <w:t xml:space="preserve">har </w:t>
      </w:r>
      <w:r w:rsidR="00E64A28" w:rsidRPr="00E414DF">
        <w:t xml:space="preserve">lyfts fram med de andra tre. </w:t>
      </w:r>
      <w:r w:rsidR="00775A39">
        <w:t>Efter seminariet ändrades målet med arenan till verktyg för att uppnå de andra tre målen.</w:t>
      </w:r>
    </w:p>
    <w:p w:rsidR="00775A39" w:rsidRPr="00E414DF" w:rsidRDefault="00775A39" w:rsidP="008777A1">
      <w:pPr>
        <w:pStyle w:val="Brdtext"/>
        <w:spacing w:before="80" w:after="80"/>
        <w:ind w:left="71" w:right="-70"/>
      </w:pPr>
    </w:p>
    <w:p w:rsidR="0011189B" w:rsidRDefault="00484803" w:rsidP="008E2469">
      <w:pPr>
        <w:pStyle w:val="Brdtext"/>
        <w:spacing w:after="0"/>
      </w:pPr>
      <w:r>
        <w:t xml:space="preserve"> </w:t>
      </w:r>
      <w:r w:rsidR="008E2469">
        <w:t xml:space="preserve"> </w:t>
      </w:r>
      <w:r w:rsidR="00285CDA" w:rsidRPr="00E414DF">
        <w:t>Sist har ett nytt kapitel som leder till nästa fas i arbetet</w:t>
      </w:r>
      <w:r>
        <w:t xml:space="preserve"> </w:t>
      </w:r>
      <w:r w:rsidRPr="00484803">
        <w:t>skapats</w:t>
      </w:r>
      <w:r>
        <w:t>,</w:t>
      </w:r>
      <w:r w:rsidR="00285CDA" w:rsidRPr="00E414DF">
        <w:t xml:space="preserve"> dvs med handlingsplaner:</w:t>
      </w:r>
      <w:r w:rsidR="008E2469">
        <w:t xml:space="preserve">                                                                      </w:t>
      </w:r>
      <w:r w:rsidR="00285CDA" w:rsidRPr="00E414DF">
        <w:br/>
      </w:r>
      <w:r w:rsidR="008E2469">
        <w:t xml:space="preserve">  </w:t>
      </w:r>
      <w:r w:rsidR="00285CDA" w:rsidRPr="00E414DF">
        <w:t xml:space="preserve">- </w:t>
      </w:r>
      <w:r w:rsidR="0011189B" w:rsidRPr="00E414DF">
        <w:t>Framgångsfaktorerna från kap 1 har lagts i</w:t>
      </w:r>
      <w:r w:rsidR="00285CDA" w:rsidRPr="00E414DF">
        <w:t>n</w:t>
      </w:r>
      <w:r w:rsidR="008E2469">
        <w:t xml:space="preserve"> och även</w:t>
      </w:r>
      <w:r w:rsidR="00285CDA" w:rsidRPr="00E414DF">
        <w:br/>
      </w:r>
      <w:r w:rsidR="008E2469">
        <w:t xml:space="preserve">  </w:t>
      </w:r>
      <w:r w:rsidR="00285CDA" w:rsidRPr="00E414DF">
        <w:t xml:space="preserve">- </w:t>
      </w:r>
      <w:r w:rsidR="008E2469">
        <w:t>S</w:t>
      </w:r>
      <w:r w:rsidR="00E414DF" w:rsidRPr="00E414DF">
        <w:t>ynpunkter från remisserna ex j</w:t>
      </w:r>
      <w:r w:rsidR="0011189B" w:rsidRPr="00E414DF">
        <w:t>ämställd och jämlik vård</w:t>
      </w:r>
      <w:r w:rsidR="00D97A04" w:rsidRPr="00E414DF">
        <w:t>, distansoberoende teknik</w:t>
      </w:r>
      <w:r w:rsidR="00465E29" w:rsidRPr="00E414DF">
        <w:t>,</w:t>
      </w:r>
      <w:r w:rsidR="00BD7B09" w:rsidRPr="00E414DF">
        <w:t xml:space="preserve"> uppföljning</w:t>
      </w:r>
      <w:r w:rsidR="008022F8">
        <w:t xml:space="preserve"> och </w:t>
      </w:r>
      <w:r w:rsidR="00465E29" w:rsidRPr="00E414DF">
        <w:t>kompetensförsörjning</w:t>
      </w:r>
    </w:p>
    <w:p w:rsidR="00BD7B09" w:rsidRDefault="00BD7B09">
      <w:pPr>
        <w:pStyle w:val="Brdtext"/>
        <w:spacing w:after="600"/>
        <w:ind w:left="142"/>
      </w:pPr>
    </w:p>
    <w:p w:rsidR="0011189B" w:rsidRDefault="0011189B">
      <w:pPr>
        <w:pStyle w:val="Brdtext"/>
        <w:spacing w:after="600"/>
        <w:ind w:left="142"/>
      </w:pPr>
    </w:p>
    <w:p w:rsidR="00CC5A56" w:rsidRDefault="00CC5A56">
      <w:pPr>
        <w:pStyle w:val="Brdtext"/>
        <w:spacing w:after="600"/>
        <w:ind w:left="142"/>
        <w:rPr>
          <w:rFonts w:ascii="Tahoma" w:hAnsi="Tahoma" w:cs="Tahoma"/>
          <w:b/>
          <w:smallCaps/>
          <w:spacing w:val="20"/>
          <w:sz w:val="40"/>
        </w:rPr>
      </w:pPr>
      <w:r>
        <w:br w:type="page"/>
      </w:r>
      <w:r w:rsidR="005F4748" w:rsidRPr="005F4748">
        <w:rPr>
          <w:rFonts w:ascii="Tahoma" w:hAnsi="Tahoma" w:cs="Tahoma"/>
          <w:b/>
          <w:smallCaps/>
          <w:noProof/>
          <w:spacing w:val="20"/>
          <w:sz w:val="20"/>
        </w:rPr>
        <w:lastRenderedPageBreak/>
        <w:pict>
          <v:line id="_x0000_s1030" style="position:absolute;left:0;text-align:left;z-index:251659776" from="-3.85pt,24.55pt" to="482.15pt,24.55pt" strokecolor="#a20033" strokeweight="2.25pt"/>
        </w:pict>
      </w:r>
      <w:r>
        <w:rPr>
          <w:rFonts w:ascii="Tahoma" w:hAnsi="Tahoma" w:cs="Tahoma"/>
          <w:b/>
          <w:smallCaps/>
          <w:spacing w:val="20"/>
          <w:sz w:val="40"/>
        </w:rPr>
        <w:t>Innehållsförteckning</w:t>
      </w:r>
    </w:p>
    <w:p w:rsidR="00D10586" w:rsidRDefault="005F4748">
      <w:pPr>
        <w:pStyle w:val="Innehll1"/>
        <w:rPr>
          <w:rFonts w:asciiTheme="minorHAnsi" w:eastAsiaTheme="minorEastAsia" w:hAnsiTheme="minorHAnsi" w:cstheme="minorBidi"/>
          <w:b w:val="0"/>
          <w:caps w:val="0"/>
          <w:sz w:val="22"/>
          <w:szCs w:val="22"/>
        </w:rPr>
      </w:pPr>
      <w:r w:rsidRPr="005F4748">
        <w:rPr>
          <w:b w:val="0"/>
          <w:caps w:val="0"/>
          <w:sz w:val="28"/>
        </w:rPr>
        <w:fldChar w:fldCharType="begin"/>
      </w:r>
      <w:r w:rsidR="00CC5A56">
        <w:rPr>
          <w:b w:val="0"/>
          <w:caps w:val="0"/>
          <w:sz w:val="28"/>
        </w:rPr>
        <w:instrText xml:space="preserve"> TOC \o "1-4" \h \z </w:instrText>
      </w:r>
      <w:r w:rsidRPr="005F4748">
        <w:rPr>
          <w:b w:val="0"/>
          <w:caps w:val="0"/>
          <w:sz w:val="28"/>
        </w:rPr>
        <w:fldChar w:fldCharType="separate"/>
      </w:r>
      <w:hyperlink w:anchor="_Toc433200252" w:history="1">
        <w:r w:rsidR="00D10586" w:rsidRPr="00616E68">
          <w:rPr>
            <w:rStyle w:val="Hyperlnk"/>
          </w:rPr>
          <w:t>1</w:t>
        </w:r>
        <w:r w:rsidR="00D10586">
          <w:rPr>
            <w:rFonts w:asciiTheme="minorHAnsi" w:eastAsiaTheme="minorEastAsia" w:hAnsiTheme="minorHAnsi" w:cstheme="minorBidi"/>
            <w:b w:val="0"/>
            <w:caps w:val="0"/>
            <w:sz w:val="22"/>
            <w:szCs w:val="22"/>
          </w:rPr>
          <w:tab/>
        </w:r>
        <w:r w:rsidR="00D10586" w:rsidRPr="00616E68">
          <w:rPr>
            <w:rStyle w:val="Hyperlnk"/>
          </w:rPr>
          <w:t>Inledning och bakgrund</w:t>
        </w:r>
        <w:r w:rsidR="00D10586">
          <w:rPr>
            <w:webHidden/>
          </w:rPr>
          <w:tab/>
        </w:r>
        <w:r w:rsidR="00D10586">
          <w:rPr>
            <w:webHidden/>
          </w:rPr>
          <w:fldChar w:fldCharType="begin"/>
        </w:r>
        <w:r w:rsidR="00D10586">
          <w:rPr>
            <w:webHidden/>
          </w:rPr>
          <w:instrText xml:space="preserve"> PAGEREF _Toc433200252 \h </w:instrText>
        </w:r>
        <w:r w:rsidR="00D10586">
          <w:rPr>
            <w:webHidden/>
          </w:rPr>
        </w:r>
        <w:r w:rsidR="00D10586">
          <w:rPr>
            <w:webHidden/>
          </w:rPr>
          <w:fldChar w:fldCharType="separate"/>
        </w:r>
        <w:r w:rsidR="00D10586">
          <w:rPr>
            <w:webHidden/>
          </w:rPr>
          <w:t>4</w:t>
        </w:r>
        <w:r w:rsidR="00D10586">
          <w:rPr>
            <w:webHidden/>
          </w:rPr>
          <w:fldChar w:fldCharType="end"/>
        </w:r>
      </w:hyperlink>
    </w:p>
    <w:p w:rsidR="00D10586" w:rsidRDefault="00D10586">
      <w:pPr>
        <w:pStyle w:val="Innehll1"/>
        <w:rPr>
          <w:rFonts w:asciiTheme="minorHAnsi" w:eastAsiaTheme="minorEastAsia" w:hAnsiTheme="minorHAnsi" w:cstheme="minorBidi"/>
          <w:b w:val="0"/>
          <w:caps w:val="0"/>
          <w:sz w:val="22"/>
          <w:szCs w:val="22"/>
        </w:rPr>
      </w:pPr>
      <w:hyperlink w:anchor="_Toc433200253" w:history="1">
        <w:r w:rsidRPr="00616E68">
          <w:rPr>
            <w:rStyle w:val="Hyperlnk"/>
          </w:rPr>
          <w:t>2</w:t>
        </w:r>
        <w:r>
          <w:rPr>
            <w:rFonts w:asciiTheme="minorHAnsi" w:eastAsiaTheme="minorEastAsia" w:hAnsiTheme="minorHAnsi" w:cstheme="minorBidi"/>
            <w:b w:val="0"/>
            <w:caps w:val="0"/>
            <w:sz w:val="22"/>
            <w:szCs w:val="22"/>
          </w:rPr>
          <w:tab/>
        </w:r>
        <w:r w:rsidRPr="00616E68">
          <w:rPr>
            <w:rStyle w:val="Hyperlnk"/>
          </w:rPr>
          <w:t>Läget i länet</w:t>
        </w:r>
        <w:r>
          <w:rPr>
            <w:webHidden/>
          </w:rPr>
          <w:tab/>
        </w:r>
        <w:r>
          <w:rPr>
            <w:webHidden/>
          </w:rPr>
          <w:fldChar w:fldCharType="begin"/>
        </w:r>
        <w:r>
          <w:rPr>
            <w:webHidden/>
          </w:rPr>
          <w:instrText xml:space="preserve"> PAGEREF _Toc433200253 \h </w:instrText>
        </w:r>
        <w:r>
          <w:rPr>
            <w:webHidden/>
          </w:rPr>
        </w:r>
        <w:r>
          <w:rPr>
            <w:webHidden/>
          </w:rPr>
          <w:fldChar w:fldCharType="separate"/>
        </w:r>
        <w:r>
          <w:rPr>
            <w:webHidden/>
          </w:rPr>
          <w:t>5</w:t>
        </w:r>
        <w:r>
          <w:rPr>
            <w:webHidden/>
          </w:rPr>
          <w:fldChar w:fldCharType="end"/>
        </w:r>
      </w:hyperlink>
    </w:p>
    <w:p w:rsidR="00D10586" w:rsidRDefault="00D10586">
      <w:pPr>
        <w:pStyle w:val="Innehll1"/>
        <w:rPr>
          <w:rFonts w:asciiTheme="minorHAnsi" w:eastAsiaTheme="minorEastAsia" w:hAnsiTheme="minorHAnsi" w:cstheme="minorBidi"/>
          <w:b w:val="0"/>
          <w:caps w:val="0"/>
          <w:sz w:val="22"/>
          <w:szCs w:val="22"/>
        </w:rPr>
      </w:pPr>
      <w:hyperlink w:anchor="_Toc433200254" w:history="1">
        <w:r w:rsidRPr="00616E68">
          <w:rPr>
            <w:rStyle w:val="Hyperlnk"/>
          </w:rPr>
          <w:t>3</w:t>
        </w:r>
        <w:r>
          <w:rPr>
            <w:rFonts w:asciiTheme="minorHAnsi" w:eastAsiaTheme="minorEastAsia" w:hAnsiTheme="minorHAnsi" w:cstheme="minorBidi"/>
            <w:b w:val="0"/>
            <w:caps w:val="0"/>
            <w:sz w:val="22"/>
            <w:szCs w:val="22"/>
          </w:rPr>
          <w:tab/>
        </w:r>
        <w:r w:rsidRPr="00616E68">
          <w:rPr>
            <w:rStyle w:val="Hyperlnk"/>
          </w:rPr>
          <w:t>Andra styrande dokument som behöver beaktas</w:t>
        </w:r>
        <w:r>
          <w:rPr>
            <w:webHidden/>
          </w:rPr>
          <w:tab/>
        </w:r>
        <w:r>
          <w:rPr>
            <w:webHidden/>
          </w:rPr>
          <w:fldChar w:fldCharType="begin"/>
        </w:r>
        <w:r>
          <w:rPr>
            <w:webHidden/>
          </w:rPr>
          <w:instrText xml:space="preserve"> PAGEREF _Toc433200254 \h </w:instrText>
        </w:r>
        <w:r>
          <w:rPr>
            <w:webHidden/>
          </w:rPr>
        </w:r>
        <w:r>
          <w:rPr>
            <w:webHidden/>
          </w:rPr>
          <w:fldChar w:fldCharType="separate"/>
        </w:r>
        <w:r>
          <w:rPr>
            <w:webHidden/>
          </w:rPr>
          <w:t>5</w:t>
        </w:r>
        <w:r>
          <w:rPr>
            <w:webHidden/>
          </w:rPr>
          <w:fldChar w:fldCharType="end"/>
        </w:r>
      </w:hyperlink>
    </w:p>
    <w:p w:rsidR="00D10586" w:rsidRDefault="00D10586">
      <w:pPr>
        <w:pStyle w:val="Innehll2"/>
        <w:rPr>
          <w:rFonts w:asciiTheme="minorHAnsi" w:eastAsiaTheme="minorEastAsia" w:hAnsiTheme="minorHAnsi" w:cstheme="minorBidi"/>
          <w:b w:val="0"/>
          <w:caps w:val="0"/>
          <w:szCs w:val="22"/>
        </w:rPr>
      </w:pPr>
      <w:hyperlink w:anchor="_Toc433200255" w:history="1">
        <w:r w:rsidRPr="00616E68">
          <w:rPr>
            <w:rStyle w:val="Hyperlnk"/>
          </w:rPr>
          <w:t>3.1</w:t>
        </w:r>
        <w:r>
          <w:rPr>
            <w:rFonts w:asciiTheme="minorHAnsi" w:eastAsiaTheme="minorEastAsia" w:hAnsiTheme="minorHAnsi" w:cstheme="minorBidi"/>
            <w:b w:val="0"/>
            <w:caps w:val="0"/>
            <w:szCs w:val="22"/>
          </w:rPr>
          <w:tab/>
        </w:r>
        <w:r w:rsidRPr="00616E68">
          <w:rPr>
            <w:rStyle w:val="Hyperlnk"/>
          </w:rPr>
          <w:t>Regionala utvecklingsstrategin (RUS)</w:t>
        </w:r>
        <w:r>
          <w:rPr>
            <w:webHidden/>
          </w:rPr>
          <w:tab/>
        </w:r>
        <w:r>
          <w:rPr>
            <w:webHidden/>
          </w:rPr>
          <w:fldChar w:fldCharType="begin"/>
        </w:r>
        <w:r>
          <w:rPr>
            <w:webHidden/>
          </w:rPr>
          <w:instrText xml:space="preserve"> PAGEREF _Toc433200255 \h </w:instrText>
        </w:r>
        <w:r>
          <w:rPr>
            <w:webHidden/>
          </w:rPr>
        </w:r>
        <w:r>
          <w:rPr>
            <w:webHidden/>
          </w:rPr>
          <w:fldChar w:fldCharType="separate"/>
        </w:r>
        <w:r>
          <w:rPr>
            <w:webHidden/>
          </w:rPr>
          <w:t>5</w:t>
        </w:r>
        <w:r>
          <w:rPr>
            <w:webHidden/>
          </w:rPr>
          <w:fldChar w:fldCharType="end"/>
        </w:r>
      </w:hyperlink>
    </w:p>
    <w:p w:rsidR="00D10586" w:rsidRDefault="00D10586">
      <w:pPr>
        <w:pStyle w:val="Innehll2"/>
        <w:rPr>
          <w:rFonts w:asciiTheme="minorHAnsi" w:eastAsiaTheme="minorEastAsia" w:hAnsiTheme="minorHAnsi" w:cstheme="minorBidi"/>
          <w:b w:val="0"/>
          <w:caps w:val="0"/>
          <w:szCs w:val="22"/>
        </w:rPr>
      </w:pPr>
      <w:hyperlink w:anchor="_Toc433200256" w:history="1">
        <w:r w:rsidRPr="00616E68">
          <w:rPr>
            <w:rStyle w:val="Hyperlnk"/>
          </w:rPr>
          <w:t>3.2</w:t>
        </w:r>
        <w:r>
          <w:rPr>
            <w:rFonts w:asciiTheme="minorHAnsi" w:eastAsiaTheme="minorEastAsia" w:hAnsiTheme="minorHAnsi" w:cstheme="minorBidi"/>
            <w:b w:val="0"/>
            <w:caps w:val="0"/>
            <w:szCs w:val="22"/>
          </w:rPr>
          <w:tab/>
        </w:r>
        <w:r w:rsidRPr="00616E68">
          <w:rPr>
            <w:rStyle w:val="Hyperlnk"/>
          </w:rPr>
          <w:t>Folkhälsopolicyn 2011-2015</w:t>
        </w:r>
        <w:r>
          <w:rPr>
            <w:webHidden/>
          </w:rPr>
          <w:tab/>
        </w:r>
        <w:r>
          <w:rPr>
            <w:webHidden/>
          </w:rPr>
          <w:fldChar w:fldCharType="begin"/>
        </w:r>
        <w:r>
          <w:rPr>
            <w:webHidden/>
          </w:rPr>
          <w:instrText xml:space="preserve"> PAGEREF _Toc433200256 \h </w:instrText>
        </w:r>
        <w:r>
          <w:rPr>
            <w:webHidden/>
          </w:rPr>
        </w:r>
        <w:r>
          <w:rPr>
            <w:webHidden/>
          </w:rPr>
          <w:fldChar w:fldCharType="separate"/>
        </w:r>
        <w:r>
          <w:rPr>
            <w:webHidden/>
          </w:rPr>
          <w:t>6</w:t>
        </w:r>
        <w:r>
          <w:rPr>
            <w:webHidden/>
          </w:rPr>
          <w:fldChar w:fldCharType="end"/>
        </w:r>
      </w:hyperlink>
    </w:p>
    <w:p w:rsidR="00D10586" w:rsidRDefault="00D10586">
      <w:pPr>
        <w:pStyle w:val="Innehll2"/>
        <w:rPr>
          <w:rFonts w:asciiTheme="minorHAnsi" w:eastAsiaTheme="minorEastAsia" w:hAnsiTheme="minorHAnsi" w:cstheme="minorBidi"/>
          <w:b w:val="0"/>
          <w:caps w:val="0"/>
          <w:szCs w:val="22"/>
        </w:rPr>
      </w:pPr>
      <w:hyperlink w:anchor="_Toc433200257" w:history="1">
        <w:r w:rsidRPr="00616E68">
          <w:rPr>
            <w:rStyle w:val="Hyperlnk"/>
          </w:rPr>
          <w:t>3.3</w:t>
        </w:r>
        <w:r>
          <w:rPr>
            <w:rFonts w:asciiTheme="minorHAnsi" w:eastAsiaTheme="minorEastAsia" w:hAnsiTheme="minorHAnsi" w:cstheme="minorBidi"/>
            <w:b w:val="0"/>
            <w:caps w:val="0"/>
            <w:szCs w:val="22"/>
          </w:rPr>
          <w:tab/>
        </w:r>
        <w:r w:rsidRPr="00616E68">
          <w:rPr>
            <w:rStyle w:val="Hyperlnk"/>
          </w:rPr>
          <w:t>Ungdomsstrategi</w:t>
        </w:r>
        <w:r>
          <w:rPr>
            <w:webHidden/>
          </w:rPr>
          <w:tab/>
        </w:r>
        <w:r>
          <w:rPr>
            <w:webHidden/>
          </w:rPr>
          <w:fldChar w:fldCharType="begin"/>
        </w:r>
        <w:r>
          <w:rPr>
            <w:webHidden/>
          </w:rPr>
          <w:instrText xml:space="preserve"> PAGEREF _Toc433200257 \h </w:instrText>
        </w:r>
        <w:r>
          <w:rPr>
            <w:webHidden/>
          </w:rPr>
        </w:r>
        <w:r>
          <w:rPr>
            <w:webHidden/>
          </w:rPr>
          <w:fldChar w:fldCharType="separate"/>
        </w:r>
        <w:r>
          <w:rPr>
            <w:webHidden/>
          </w:rPr>
          <w:t>7</w:t>
        </w:r>
        <w:r>
          <w:rPr>
            <w:webHidden/>
          </w:rPr>
          <w:fldChar w:fldCharType="end"/>
        </w:r>
      </w:hyperlink>
    </w:p>
    <w:p w:rsidR="00D10586" w:rsidRDefault="00D10586">
      <w:pPr>
        <w:pStyle w:val="Innehll2"/>
        <w:rPr>
          <w:rFonts w:asciiTheme="minorHAnsi" w:eastAsiaTheme="minorEastAsia" w:hAnsiTheme="minorHAnsi" w:cstheme="minorBidi"/>
          <w:b w:val="0"/>
          <w:caps w:val="0"/>
          <w:szCs w:val="22"/>
        </w:rPr>
      </w:pPr>
      <w:hyperlink w:anchor="_Toc433200258" w:history="1">
        <w:r w:rsidRPr="00616E68">
          <w:rPr>
            <w:rStyle w:val="Hyperlnk"/>
          </w:rPr>
          <w:t>3.4</w:t>
        </w:r>
        <w:r>
          <w:rPr>
            <w:rFonts w:asciiTheme="minorHAnsi" w:eastAsiaTheme="minorEastAsia" w:hAnsiTheme="minorHAnsi" w:cstheme="minorBidi"/>
            <w:b w:val="0"/>
            <w:caps w:val="0"/>
            <w:szCs w:val="22"/>
          </w:rPr>
          <w:tab/>
        </w:r>
        <w:r w:rsidRPr="00616E68">
          <w:rPr>
            <w:rStyle w:val="Hyperlnk"/>
          </w:rPr>
          <w:t>Riksdagens riktlinjer och etisk plattform</w:t>
        </w:r>
        <w:r>
          <w:rPr>
            <w:webHidden/>
          </w:rPr>
          <w:tab/>
        </w:r>
        <w:r>
          <w:rPr>
            <w:webHidden/>
          </w:rPr>
          <w:fldChar w:fldCharType="begin"/>
        </w:r>
        <w:r>
          <w:rPr>
            <w:webHidden/>
          </w:rPr>
          <w:instrText xml:space="preserve"> PAGEREF _Toc433200258 \h </w:instrText>
        </w:r>
        <w:r>
          <w:rPr>
            <w:webHidden/>
          </w:rPr>
        </w:r>
        <w:r>
          <w:rPr>
            <w:webHidden/>
          </w:rPr>
          <w:fldChar w:fldCharType="separate"/>
        </w:r>
        <w:r>
          <w:rPr>
            <w:webHidden/>
          </w:rPr>
          <w:t>7</w:t>
        </w:r>
        <w:r>
          <w:rPr>
            <w:webHidden/>
          </w:rPr>
          <w:fldChar w:fldCharType="end"/>
        </w:r>
      </w:hyperlink>
    </w:p>
    <w:p w:rsidR="00D10586" w:rsidRDefault="00D10586">
      <w:pPr>
        <w:pStyle w:val="Innehll1"/>
        <w:rPr>
          <w:rFonts w:asciiTheme="minorHAnsi" w:eastAsiaTheme="minorEastAsia" w:hAnsiTheme="minorHAnsi" w:cstheme="minorBidi"/>
          <w:b w:val="0"/>
          <w:caps w:val="0"/>
          <w:sz w:val="22"/>
          <w:szCs w:val="22"/>
        </w:rPr>
      </w:pPr>
      <w:hyperlink w:anchor="_Toc433200259" w:history="1">
        <w:r w:rsidRPr="00616E68">
          <w:rPr>
            <w:rStyle w:val="Hyperlnk"/>
          </w:rPr>
          <w:t>4</w:t>
        </w:r>
        <w:r>
          <w:rPr>
            <w:rFonts w:asciiTheme="minorHAnsi" w:eastAsiaTheme="minorEastAsia" w:hAnsiTheme="minorHAnsi" w:cstheme="minorBidi"/>
            <w:b w:val="0"/>
            <w:caps w:val="0"/>
            <w:sz w:val="22"/>
            <w:szCs w:val="22"/>
          </w:rPr>
          <w:tab/>
        </w:r>
        <w:r w:rsidRPr="00616E68">
          <w:rPr>
            <w:rStyle w:val="Hyperlnk"/>
          </w:rPr>
          <w:t>mål för framtidens hälso- och sjukvård i JÄmtlands län 2025</w:t>
        </w:r>
        <w:r>
          <w:rPr>
            <w:webHidden/>
          </w:rPr>
          <w:tab/>
        </w:r>
        <w:r>
          <w:rPr>
            <w:webHidden/>
          </w:rPr>
          <w:fldChar w:fldCharType="begin"/>
        </w:r>
        <w:r>
          <w:rPr>
            <w:webHidden/>
          </w:rPr>
          <w:instrText xml:space="preserve"> PAGEREF _Toc433200259 \h </w:instrText>
        </w:r>
        <w:r>
          <w:rPr>
            <w:webHidden/>
          </w:rPr>
        </w:r>
        <w:r>
          <w:rPr>
            <w:webHidden/>
          </w:rPr>
          <w:fldChar w:fldCharType="separate"/>
        </w:r>
        <w:r>
          <w:rPr>
            <w:webHidden/>
          </w:rPr>
          <w:t>8</w:t>
        </w:r>
        <w:r>
          <w:rPr>
            <w:webHidden/>
          </w:rPr>
          <w:fldChar w:fldCharType="end"/>
        </w:r>
      </w:hyperlink>
    </w:p>
    <w:p w:rsidR="00D10586" w:rsidRDefault="00D10586">
      <w:pPr>
        <w:pStyle w:val="Innehll2"/>
        <w:rPr>
          <w:rFonts w:asciiTheme="minorHAnsi" w:eastAsiaTheme="minorEastAsia" w:hAnsiTheme="minorHAnsi" w:cstheme="minorBidi"/>
          <w:b w:val="0"/>
          <w:caps w:val="0"/>
          <w:szCs w:val="22"/>
        </w:rPr>
      </w:pPr>
      <w:hyperlink w:anchor="_Toc433200260" w:history="1">
        <w:r w:rsidRPr="00616E68">
          <w:rPr>
            <w:rStyle w:val="Hyperlnk"/>
          </w:rPr>
          <w:t>4.1</w:t>
        </w:r>
        <w:r>
          <w:rPr>
            <w:rFonts w:asciiTheme="minorHAnsi" w:eastAsiaTheme="minorEastAsia" w:hAnsiTheme="minorHAnsi" w:cstheme="minorBidi"/>
            <w:b w:val="0"/>
            <w:caps w:val="0"/>
            <w:szCs w:val="22"/>
          </w:rPr>
          <w:tab/>
        </w:r>
        <w:r w:rsidRPr="00616E68">
          <w:rPr>
            <w:rStyle w:val="Hyperlnk"/>
          </w:rPr>
          <w:t>Förbättrad psykisk hälsa</w:t>
        </w:r>
        <w:r>
          <w:rPr>
            <w:webHidden/>
          </w:rPr>
          <w:tab/>
        </w:r>
        <w:r>
          <w:rPr>
            <w:webHidden/>
          </w:rPr>
          <w:fldChar w:fldCharType="begin"/>
        </w:r>
        <w:r>
          <w:rPr>
            <w:webHidden/>
          </w:rPr>
          <w:instrText xml:space="preserve"> PAGEREF _Toc433200260 \h </w:instrText>
        </w:r>
        <w:r>
          <w:rPr>
            <w:webHidden/>
          </w:rPr>
        </w:r>
        <w:r>
          <w:rPr>
            <w:webHidden/>
          </w:rPr>
          <w:fldChar w:fldCharType="separate"/>
        </w:r>
        <w:r>
          <w:rPr>
            <w:webHidden/>
          </w:rPr>
          <w:t>9</w:t>
        </w:r>
        <w:r>
          <w:rPr>
            <w:webHidden/>
          </w:rPr>
          <w:fldChar w:fldCharType="end"/>
        </w:r>
      </w:hyperlink>
    </w:p>
    <w:p w:rsidR="00D10586" w:rsidRDefault="00D10586">
      <w:pPr>
        <w:pStyle w:val="Innehll2"/>
        <w:rPr>
          <w:rFonts w:asciiTheme="minorHAnsi" w:eastAsiaTheme="minorEastAsia" w:hAnsiTheme="minorHAnsi" w:cstheme="minorBidi"/>
          <w:b w:val="0"/>
          <w:caps w:val="0"/>
          <w:szCs w:val="22"/>
        </w:rPr>
      </w:pPr>
      <w:hyperlink w:anchor="_Toc433200261" w:history="1">
        <w:r w:rsidRPr="00616E68">
          <w:rPr>
            <w:rStyle w:val="Hyperlnk"/>
          </w:rPr>
          <w:t>4.2</w:t>
        </w:r>
        <w:r>
          <w:rPr>
            <w:rFonts w:asciiTheme="minorHAnsi" w:eastAsiaTheme="minorEastAsia" w:hAnsiTheme="minorHAnsi" w:cstheme="minorBidi"/>
            <w:b w:val="0"/>
            <w:caps w:val="0"/>
            <w:szCs w:val="22"/>
          </w:rPr>
          <w:tab/>
        </w:r>
        <w:r w:rsidRPr="00616E68">
          <w:rPr>
            <w:rStyle w:val="Hyperlnk"/>
          </w:rPr>
          <w:t>Hälsofrämjande och trygghetsskapande levnadsvillkor</w:t>
        </w:r>
        <w:r>
          <w:rPr>
            <w:webHidden/>
          </w:rPr>
          <w:tab/>
        </w:r>
        <w:r>
          <w:rPr>
            <w:webHidden/>
          </w:rPr>
          <w:fldChar w:fldCharType="begin"/>
        </w:r>
        <w:r>
          <w:rPr>
            <w:webHidden/>
          </w:rPr>
          <w:instrText xml:space="preserve"> PAGEREF _Toc433200261 \h </w:instrText>
        </w:r>
        <w:r>
          <w:rPr>
            <w:webHidden/>
          </w:rPr>
        </w:r>
        <w:r>
          <w:rPr>
            <w:webHidden/>
          </w:rPr>
          <w:fldChar w:fldCharType="separate"/>
        </w:r>
        <w:r>
          <w:rPr>
            <w:webHidden/>
          </w:rPr>
          <w:t>9</w:t>
        </w:r>
        <w:r>
          <w:rPr>
            <w:webHidden/>
          </w:rPr>
          <w:fldChar w:fldCharType="end"/>
        </w:r>
      </w:hyperlink>
    </w:p>
    <w:p w:rsidR="00D10586" w:rsidRDefault="00D10586">
      <w:pPr>
        <w:pStyle w:val="Innehll2"/>
        <w:rPr>
          <w:rFonts w:asciiTheme="minorHAnsi" w:eastAsiaTheme="minorEastAsia" w:hAnsiTheme="minorHAnsi" w:cstheme="minorBidi"/>
          <w:b w:val="0"/>
          <w:caps w:val="0"/>
          <w:szCs w:val="22"/>
        </w:rPr>
      </w:pPr>
      <w:hyperlink w:anchor="_Toc433200262" w:history="1">
        <w:r w:rsidRPr="00616E68">
          <w:rPr>
            <w:rStyle w:val="Hyperlnk"/>
          </w:rPr>
          <w:t>4.3</w:t>
        </w:r>
        <w:r>
          <w:rPr>
            <w:rFonts w:asciiTheme="minorHAnsi" w:eastAsiaTheme="minorEastAsia" w:hAnsiTheme="minorHAnsi" w:cstheme="minorBidi"/>
            <w:b w:val="0"/>
            <w:caps w:val="0"/>
            <w:szCs w:val="22"/>
          </w:rPr>
          <w:tab/>
        </w:r>
        <w:r w:rsidRPr="00616E68">
          <w:rPr>
            <w:rStyle w:val="Hyperlnk"/>
          </w:rPr>
          <w:t>Tillgänglig och samordnad hälso- och sjukvård</w:t>
        </w:r>
        <w:r>
          <w:rPr>
            <w:webHidden/>
          </w:rPr>
          <w:tab/>
        </w:r>
        <w:r>
          <w:rPr>
            <w:webHidden/>
          </w:rPr>
          <w:fldChar w:fldCharType="begin"/>
        </w:r>
        <w:r>
          <w:rPr>
            <w:webHidden/>
          </w:rPr>
          <w:instrText xml:space="preserve"> PAGEREF _Toc433200262 \h </w:instrText>
        </w:r>
        <w:r>
          <w:rPr>
            <w:webHidden/>
          </w:rPr>
        </w:r>
        <w:r>
          <w:rPr>
            <w:webHidden/>
          </w:rPr>
          <w:fldChar w:fldCharType="separate"/>
        </w:r>
        <w:r>
          <w:rPr>
            <w:webHidden/>
          </w:rPr>
          <w:t>10</w:t>
        </w:r>
        <w:r>
          <w:rPr>
            <w:webHidden/>
          </w:rPr>
          <w:fldChar w:fldCharType="end"/>
        </w:r>
      </w:hyperlink>
    </w:p>
    <w:p w:rsidR="00D10586" w:rsidRDefault="00D10586">
      <w:pPr>
        <w:pStyle w:val="Innehll1"/>
        <w:rPr>
          <w:rFonts w:asciiTheme="minorHAnsi" w:eastAsiaTheme="minorEastAsia" w:hAnsiTheme="minorHAnsi" w:cstheme="minorBidi"/>
          <w:b w:val="0"/>
          <w:caps w:val="0"/>
          <w:sz w:val="22"/>
          <w:szCs w:val="22"/>
        </w:rPr>
      </w:pPr>
      <w:hyperlink w:anchor="_Toc433200263" w:history="1">
        <w:r w:rsidRPr="00616E68">
          <w:rPr>
            <w:rStyle w:val="Hyperlnk"/>
          </w:rPr>
          <w:t>5</w:t>
        </w:r>
        <w:r>
          <w:rPr>
            <w:rFonts w:asciiTheme="minorHAnsi" w:eastAsiaTheme="minorEastAsia" w:hAnsiTheme="minorHAnsi" w:cstheme="minorBidi"/>
            <w:b w:val="0"/>
            <w:caps w:val="0"/>
            <w:sz w:val="22"/>
            <w:szCs w:val="22"/>
          </w:rPr>
          <w:tab/>
        </w:r>
        <w:r w:rsidRPr="00616E68">
          <w:rPr>
            <w:rStyle w:val="Hyperlnk"/>
          </w:rPr>
          <w:t>Framgångsfaktorer att beakta i det fortsatta arbetet</w:t>
        </w:r>
        <w:r>
          <w:rPr>
            <w:webHidden/>
          </w:rPr>
          <w:tab/>
        </w:r>
        <w:r>
          <w:rPr>
            <w:webHidden/>
          </w:rPr>
          <w:fldChar w:fldCharType="begin"/>
        </w:r>
        <w:r>
          <w:rPr>
            <w:webHidden/>
          </w:rPr>
          <w:instrText xml:space="preserve"> PAGEREF _Toc433200263 \h </w:instrText>
        </w:r>
        <w:r>
          <w:rPr>
            <w:webHidden/>
          </w:rPr>
        </w:r>
        <w:r>
          <w:rPr>
            <w:webHidden/>
          </w:rPr>
          <w:fldChar w:fldCharType="separate"/>
        </w:r>
        <w:r>
          <w:rPr>
            <w:webHidden/>
          </w:rPr>
          <w:t>12</w:t>
        </w:r>
        <w:r>
          <w:rPr>
            <w:webHidden/>
          </w:rPr>
          <w:fldChar w:fldCharType="end"/>
        </w:r>
      </w:hyperlink>
    </w:p>
    <w:p w:rsidR="00D10586" w:rsidRDefault="00D10586">
      <w:pPr>
        <w:pStyle w:val="Innehll2"/>
        <w:rPr>
          <w:rFonts w:asciiTheme="minorHAnsi" w:eastAsiaTheme="minorEastAsia" w:hAnsiTheme="minorHAnsi" w:cstheme="minorBidi"/>
          <w:b w:val="0"/>
          <w:caps w:val="0"/>
          <w:szCs w:val="22"/>
        </w:rPr>
      </w:pPr>
      <w:hyperlink w:anchor="_Toc433200264" w:history="1">
        <w:r w:rsidRPr="00616E68">
          <w:rPr>
            <w:rStyle w:val="Hyperlnk"/>
          </w:rPr>
          <w:t>5.1</w:t>
        </w:r>
        <w:r>
          <w:rPr>
            <w:rFonts w:asciiTheme="minorHAnsi" w:eastAsiaTheme="minorEastAsia" w:hAnsiTheme="minorHAnsi" w:cstheme="minorBidi"/>
            <w:b w:val="0"/>
            <w:caps w:val="0"/>
            <w:szCs w:val="22"/>
          </w:rPr>
          <w:tab/>
        </w:r>
        <w:r w:rsidRPr="00616E68">
          <w:rPr>
            <w:rStyle w:val="Hyperlnk"/>
          </w:rPr>
          <w:t>Länsstruktur för samarbete mellan länets kommuner och landstinget.</w:t>
        </w:r>
        <w:r>
          <w:rPr>
            <w:webHidden/>
          </w:rPr>
          <w:tab/>
        </w:r>
        <w:r>
          <w:rPr>
            <w:webHidden/>
          </w:rPr>
          <w:fldChar w:fldCharType="begin"/>
        </w:r>
        <w:r>
          <w:rPr>
            <w:webHidden/>
          </w:rPr>
          <w:instrText xml:space="preserve"> PAGEREF _Toc433200264 \h </w:instrText>
        </w:r>
        <w:r>
          <w:rPr>
            <w:webHidden/>
          </w:rPr>
        </w:r>
        <w:r>
          <w:rPr>
            <w:webHidden/>
          </w:rPr>
          <w:fldChar w:fldCharType="separate"/>
        </w:r>
        <w:r>
          <w:rPr>
            <w:webHidden/>
          </w:rPr>
          <w:t>12</w:t>
        </w:r>
        <w:r>
          <w:rPr>
            <w:webHidden/>
          </w:rPr>
          <w:fldChar w:fldCharType="end"/>
        </w:r>
      </w:hyperlink>
    </w:p>
    <w:p w:rsidR="00D10586" w:rsidRDefault="00D10586">
      <w:pPr>
        <w:pStyle w:val="Innehll2"/>
        <w:rPr>
          <w:rFonts w:asciiTheme="minorHAnsi" w:eastAsiaTheme="minorEastAsia" w:hAnsiTheme="minorHAnsi" w:cstheme="minorBidi"/>
          <w:b w:val="0"/>
          <w:caps w:val="0"/>
          <w:szCs w:val="22"/>
        </w:rPr>
      </w:pPr>
      <w:hyperlink w:anchor="_Toc433200265" w:history="1">
        <w:r w:rsidRPr="00616E68">
          <w:rPr>
            <w:rStyle w:val="Hyperlnk"/>
            <w:lang w:bidi="sv-SE"/>
          </w:rPr>
          <w:t>5.2</w:t>
        </w:r>
        <w:r>
          <w:rPr>
            <w:rFonts w:asciiTheme="minorHAnsi" w:eastAsiaTheme="minorEastAsia" w:hAnsiTheme="minorHAnsi" w:cstheme="minorBidi"/>
            <w:b w:val="0"/>
            <w:caps w:val="0"/>
            <w:szCs w:val="22"/>
          </w:rPr>
          <w:tab/>
        </w:r>
        <w:r w:rsidRPr="00616E68">
          <w:rPr>
            <w:rStyle w:val="Hyperlnk"/>
            <w:lang w:bidi="sv-SE"/>
          </w:rPr>
          <w:t>Nästa steg: att skapa handlingsplaner för att nå målen</w:t>
        </w:r>
        <w:r>
          <w:rPr>
            <w:webHidden/>
          </w:rPr>
          <w:tab/>
        </w:r>
        <w:r>
          <w:rPr>
            <w:webHidden/>
          </w:rPr>
          <w:fldChar w:fldCharType="begin"/>
        </w:r>
        <w:r>
          <w:rPr>
            <w:webHidden/>
          </w:rPr>
          <w:instrText xml:space="preserve"> PAGEREF _Toc433200265 \h </w:instrText>
        </w:r>
        <w:r>
          <w:rPr>
            <w:webHidden/>
          </w:rPr>
        </w:r>
        <w:r>
          <w:rPr>
            <w:webHidden/>
          </w:rPr>
          <w:fldChar w:fldCharType="separate"/>
        </w:r>
        <w:r>
          <w:rPr>
            <w:webHidden/>
          </w:rPr>
          <w:t>14</w:t>
        </w:r>
        <w:r>
          <w:rPr>
            <w:webHidden/>
          </w:rPr>
          <w:fldChar w:fldCharType="end"/>
        </w:r>
      </w:hyperlink>
    </w:p>
    <w:p w:rsidR="00D10586" w:rsidRDefault="00D10586">
      <w:pPr>
        <w:pStyle w:val="Innehll1"/>
        <w:rPr>
          <w:rFonts w:asciiTheme="minorHAnsi" w:eastAsiaTheme="minorEastAsia" w:hAnsiTheme="minorHAnsi" w:cstheme="minorBidi"/>
          <w:b w:val="0"/>
          <w:caps w:val="0"/>
          <w:sz w:val="22"/>
          <w:szCs w:val="22"/>
        </w:rPr>
      </w:pPr>
      <w:hyperlink w:anchor="_Toc433200266" w:history="1">
        <w:r w:rsidRPr="00616E68">
          <w:rPr>
            <w:rStyle w:val="Hyperlnk"/>
          </w:rPr>
          <w:t>6</w:t>
        </w:r>
        <w:r>
          <w:rPr>
            <w:rFonts w:asciiTheme="minorHAnsi" w:eastAsiaTheme="minorEastAsia" w:hAnsiTheme="minorHAnsi" w:cstheme="minorBidi"/>
            <w:b w:val="0"/>
            <w:caps w:val="0"/>
            <w:sz w:val="22"/>
            <w:szCs w:val="22"/>
          </w:rPr>
          <w:tab/>
        </w:r>
        <w:r w:rsidRPr="00616E68">
          <w:rPr>
            <w:rStyle w:val="Hyperlnk"/>
          </w:rPr>
          <w:t>Indikatorerna</w:t>
        </w:r>
        <w:r>
          <w:rPr>
            <w:webHidden/>
          </w:rPr>
          <w:tab/>
        </w:r>
        <w:r>
          <w:rPr>
            <w:webHidden/>
          </w:rPr>
          <w:fldChar w:fldCharType="begin"/>
        </w:r>
        <w:r>
          <w:rPr>
            <w:webHidden/>
          </w:rPr>
          <w:instrText xml:space="preserve"> PAGEREF _Toc433200266 \h </w:instrText>
        </w:r>
        <w:r>
          <w:rPr>
            <w:webHidden/>
          </w:rPr>
        </w:r>
        <w:r>
          <w:rPr>
            <w:webHidden/>
          </w:rPr>
          <w:fldChar w:fldCharType="separate"/>
        </w:r>
        <w:r>
          <w:rPr>
            <w:webHidden/>
          </w:rPr>
          <w:t>16</w:t>
        </w:r>
        <w:r>
          <w:rPr>
            <w:webHidden/>
          </w:rPr>
          <w:fldChar w:fldCharType="end"/>
        </w:r>
      </w:hyperlink>
    </w:p>
    <w:p w:rsidR="00CC5A56" w:rsidRDefault="005F4748">
      <w:pPr>
        <w:pStyle w:val="Brdtext"/>
      </w:pPr>
      <w:r>
        <w:rPr>
          <w:rFonts w:ascii="Tahoma" w:hAnsi="Tahoma"/>
          <w:b/>
          <w:caps/>
          <w:noProof/>
          <w:sz w:val="28"/>
          <w:szCs w:val="40"/>
        </w:rPr>
        <w:fldChar w:fldCharType="end"/>
      </w:r>
    </w:p>
    <w:p w:rsidR="00C9236F" w:rsidRPr="00C9236F" w:rsidRDefault="00C9236F" w:rsidP="00C9236F">
      <w:pPr>
        <w:rPr>
          <w:b/>
        </w:rPr>
      </w:pPr>
      <w:r w:rsidRPr="00C9236F">
        <w:rPr>
          <w:b/>
        </w:rPr>
        <w:t>Bilaga 1 Hälsoläget i länet 2013………………………………………………………………………</w:t>
      </w:r>
      <w:r w:rsidR="00484803">
        <w:rPr>
          <w:b/>
        </w:rPr>
        <w:t>..</w:t>
      </w:r>
      <w:r w:rsidR="00B57027">
        <w:rPr>
          <w:b/>
        </w:rPr>
        <w:t>17</w:t>
      </w:r>
    </w:p>
    <w:p w:rsidR="00C9236F" w:rsidRDefault="00C9236F" w:rsidP="00C9236F">
      <w:pPr>
        <w:pStyle w:val="Brdtext"/>
      </w:pPr>
    </w:p>
    <w:p w:rsidR="00C9236F" w:rsidRDefault="00C9236F" w:rsidP="00C9236F">
      <w:pPr>
        <w:pStyle w:val="Brdtext"/>
        <w:rPr>
          <w:b/>
        </w:rPr>
      </w:pPr>
      <w:r w:rsidRPr="00C9236F">
        <w:rPr>
          <w:b/>
        </w:rPr>
        <w:t>Bilaga 2 Sammanfattning av Öppna Jämförelser 2012 – Kvalitet i vården…………………………</w:t>
      </w:r>
      <w:r w:rsidR="00484803">
        <w:rPr>
          <w:b/>
        </w:rPr>
        <w:t>….</w:t>
      </w:r>
      <w:r w:rsidR="00B57027">
        <w:rPr>
          <w:b/>
        </w:rPr>
        <w:t>21</w:t>
      </w:r>
    </w:p>
    <w:p w:rsidR="00B57027" w:rsidRDefault="00B57027" w:rsidP="00C9236F">
      <w:pPr>
        <w:pStyle w:val="Brdtext"/>
        <w:rPr>
          <w:b/>
        </w:rPr>
      </w:pPr>
    </w:p>
    <w:p w:rsidR="00C9236F" w:rsidRDefault="00C9236F" w:rsidP="00C9236F">
      <w:r>
        <w:tab/>
      </w:r>
      <w:r>
        <w:tab/>
      </w:r>
      <w:r>
        <w:tab/>
      </w:r>
      <w:r>
        <w:tab/>
      </w:r>
      <w:r>
        <w:tab/>
        <w:t xml:space="preserve">      </w:t>
      </w:r>
    </w:p>
    <w:p w:rsidR="00CC5A56" w:rsidRDefault="00CC5A56" w:rsidP="005F3F01">
      <w:pPr>
        <w:pStyle w:val="Rubrik1"/>
        <w:spacing w:after="600"/>
        <w:ind w:left="431" w:hanging="431"/>
      </w:pPr>
      <w:r>
        <w:br w:type="page"/>
      </w:r>
      <w:bookmarkStart w:id="0" w:name="_Toc354574519"/>
      <w:bookmarkStart w:id="1" w:name="_Toc433200252"/>
      <w:r>
        <w:lastRenderedPageBreak/>
        <w:t>Inledning och bakgrund</w:t>
      </w:r>
      <w:bookmarkEnd w:id="0"/>
      <w:bookmarkEnd w:id="1"/>
    </w:p>
    <w:p w:rsidR="00525FCE" w:rsidRPr="00FB7328" w:rsidRDefault="00F16343" w:rsidP="00525FCE">
      <w:pPr>
        <w:tabs>
          <w:tab w:val="left" w:pos="1701"/>
        </w:tabs>
        <w:spacing w:before="120" w:after="120" w:line="276" w:lineRule="auto"/>
        <w:rPr>
          <w:bCs/>
          <w:szCs w:val="24"/>
          <w:lang w:bidi="sv-SE"/>
        </w:rPr>
      </w:pPr>
      <w:r>
        <w:rPr>
          <w:bCs/>
          <w:szCs w:val="24"/>
          <w:lang w:bidi="sv-SE"/>
        </w:rPr>
        <w:t xml:space="preserve">Tidigare fanns dokumentet </w:t>
      </w:r>
      <w:r w:rsidR="00525FCE" w:rsidRPr="00FB7328">
        <w:rPr>
          <w:bCs/>
          <w:szCs w:val="24"/>
          <w:lang w:bidi="sv-SE"/>
        </w:rPr>
        <w:t>“Riktlinjer för en Ny hälso- och sjukvårdspol</w:t>
      </w:r>
      <w:r w:rsidR="0002009F">
        <w:rPr>
          <w:bCs/>
          <w:szCs w:val="24"/>
          <w:lang w:bidi="sv-SE"/>
        </w:rPr>
        <w:t xml:space="preserve">itik i Jämtlands län” från 2000. </w:t>
      </w:r>
      <w:r w:rsidR="00525FCE" w:rsidRPr="00FB7328">
        <w:rPr>
          <w:bCs/>
          <w:szCs w:val="24"/>
          <w:lang w:bidi="sv-SE"/>
        </w:rPr>
        <w:t xml:space="preserve"> Vissa delar i policyn </w:t>
      </w:r>
      <w:r w:rsidR="00D63B9E" w:rsidRPr="00FB7328">
        <w:rPr>
          <w:bCs/>
          <w:szCs w:val="24"/>
          <w:lang w:bidi="sv-SE"/>
        </w:rPr>
        <w:t>är</w:t>
      </w:r>
      <w:r w:rsidR="00525FCE" w:rsidRPr="00FB7328">
        <w:rPr>
          <w:bCs/>
          <w:szCs w:val="24"/>
          <w:lang w:bidi="sv-SE"/>
        </w:rPr>
        <w:t xml:space="preserve"> fortfarande relevanta men stora förändringar har också skett inom hälso- och sjukvårdens olika delområden och därför </w:t>
      </w:r>
      <w:r w:rsidR="0002009F">
        <w:rPr>
          <w:bCs/>
          <w:szCs w:val="24"/>
          <w:lang w:bidi="sv-SE"/>
        </w:rPr>
        <w:t xml:space="preserve">har </w:t>
      </w:r>
      <w:r w:rsidR="00525FCE" w:rsidRPr="00FB7328">
        <w:rPr>
          <w:bCs/>
          <w:szCs w:val="24"/>
          <w:lang w:bidi="sv-SE"/>
        </w:rPr>
        <w:t xml:space="preserve">en </w:t>
      </w:r>
      <w:r w:rsidR="007E6FBD">
        <w:rPr>
          <w:bCs/>
          <w:szCs w:val="24"/>
          <w:lang w:bidi="sv-SE"/>
        </w:rPr>
        <w:t xml:space="preserve">översyn </w:t>
      </w:r>
      <w:r w:rsidR="0002009F">
        <w:rPr>
          <w:bCs/>
          <w:szCs w:val="24"/>
          <w:lang w:bidi="sv-SE"/>
        </w:rPr>
        <w:t>och nytt målarbete gjorts gemensamt mellan lan</w:t>
      </w:r>
      <w:r w:rsidR="007B3FA6">
        <w:rPr>
          <w:bCs/>
          <w:szCs w:val="24"/>
          <w:lang w:bidi="sv-SE"/>
        </w:rPr>
        <w:t>d</w:t>
      </w:r>
      <w:r w:rsidR="0002009F">
        <w:rPr>
          <w:bCs/>
          <w:szCs w:val="24"/>
          <w:lang w:bidi="sv-SE"/>
        </w:rPr>
        <w:t xml:space="preserve">stinget och kommunerna i länet. </w:t>
      </w:r>
    </w:p>
    <w:p w:rsidR="0002009F" w:rsidRDefault="007E6FBD" w:rsidP="00F147BE">
      <w:pPr>
        <w:tabs>
          <w:tab w:val="left" w:pos="1701"/>
        </w:tabs>
        <w:spacing w:before="120" w:after="120" w:line="276" w:lineRule="auto"/>
        <w:rPr>
          <w:bCs/>
          <w:iCs/>
          <w:lang w:bidi="sv-SE"/>
        </w:rPr>
      </w:pPr>
      <w:r>
        <w:rPr>
          <w:bCs/>
          <w:iCs/>
          <w:lang w:bidi="sv-SE"/>
        </w:rPr>
        <w:t xml:space="preserve">Landstinget och kommunerna </w:t>
      </w:r>
      <w:r w:rsidR="0002009F">
        <w:rPr>
          <w:bCs/>
          <w:iCs/>
          <w:lang w:bidi="sv-SE"/>
        </w:rPr>
        <w:t xml:space="preserve">har enats om att </w:t>
      </w:r>
      <w:r>
        <w:rPr>
          <w:bCs/>
          <w:iCs/>
          <w:lang w:bidi="sv-SE"/>
        </w:rPr>
        <w:t>det</w:t>
      </w:r>
      <w:r w:rsidR="0002009F">
        <w:rPr>
          <w:bCs/>
          <w:iCs/>
          <w:lang w:bidi="sv-SE"/>
        </w:rPr>
        <w:t xml:space="preserve"> behöv</w:t>
      </w:r>
      <w:r>
        <w:rPr>
          <w:bCs/>
          <w:iCs/>
          <w:lang w:bidi="sv-SE"/>
        </w:rPr>
        <w:t>s</w:t>
      </w:r>
      <w:r w:rsidR="0002009F">
        <w:rPr>
          <w:bCs/>
          <w:iCs/>
          <w:lang w:bidi="sv-SE"/>
        </w:rPr>
        <w:t xml:space="preserve"> ett</w:t>
      </w:r>
      <w:r w:rsidR="00BB1F12" w:rsidRPr="00BB1F12">
        <w:rPr>
          <w:bCs/>
          <w:iCs/>
          <w:lang w:bidi="sv-SE"/>
        </w:rPr>
        <w:t xml:space="preserve"> länsgemensamt dokument</w:t>
      </w:r>
      <w:r w:rsidR="00F147BE">
        <w:rPr>
          <w:bCs/>
          <w:iCs/>
          <w:lang w:bidi="sv-SE"/>
        </w:rPr>
        <w:t xml:space="preserve"> </w:t>
      </w:r>
      <w:r w:rsidR="0002009F">
        <w:rPr>
          <w:bCs/>
          <w:iCs/>
          <w:lang w:bidi="sv-SE"/>
        </w:rPr>
        <w:t>med</w:t>
      </w:r>
      <w:r w:rsidR="00BB1F12" w:rsidRPr="00BB1F12">
        <w:rPr>
          <w:bCs/>
          <w:iCs/>
          <w:lang w:bidi="sv-SE"/>
        </w:rPr>
        <w:t xml:space="preserve"> ett övergripande perspektiv </w:t>
      </w:r>
      <w:r w:rsidR="0002009F">
        <w:rPr>
          <w:bCs/>
          <w:iCs/>
          <w:lang w:bidi="sv-SE"/>
        </w:rPr>
        <w:t>som fokusera</w:t>
      </w:r>
      <w:r>
        <w:rPr>
          <w:bCs/>
          <w:iCs/>
          <w:lang w:bidi="sv-SE"/>
        </w:rPr>
        <w:t>r</w:t>
      </w:r>
      <w:r w:rsidR="0002009F">
        <w:rPr>
          <w:bCs/>
          <w:iCs/>
          <w:lang w:bidi="sv-SE"/>
        </w:rPr>
        <w:t xml:space="preserve"> på de viktigaste områdena där landstinget och kommunerna tillsammans i länet kan göra förbättringar. Detta </w:t>
      </w:r>
      <w:r w:rsidR="007B3FA6">
        <w:rPr>
          <w:bCs/>
          <w:iCs/>
          <w:lang w:bidi="sv-SE"/>
        </w:rPr>
        <w:t>mål</w:t>
      </w:r>
      <w:r w:rsidR="0002009F">
        <w:rPr>
          <w:bCs/>
          <w:iCs/>
          <w:lang w:bidi="sv-SE"/>
        </w:rPr>
        <w:t>dokument är e</w:t>
      </w:r>
      <w:r w:rsidR="0002009F" w:rsidRPr="00BB1F12">
        <w:rPr>
          <w:bCs/>
          <w:iCs/>
          <w:lang w:bidi="sv-SE"/>
        </w:rPr>
        <w:t xml:space="preserve">tt gemensamt styrdokument </w:t>
      </w:r>
      <w:r w:rsidR="00B164D0">
        <w:rPr>
          <w:bCs/>
          <w:iCs/>
          <w:lang w:bidi="sv-SE"/>
        </w:rPr>
        <w:t xml:space="preserve">som fokuserar </w:t>
      </w:r>
      <w:r w:rsidR="007B3FA6">
        <w:rPr>
          <w:bCs/>
          <w:iCs/>
          <w:lang w:bidi="sv-SE"/>
        </w:rPr>
        <w:t xml:space="preserve">på behoven av </w:t>
      </w:r>
      <w:r w:rsidR="0002009F">
        <w:rPr>
          <w:bCs/>
          <w:iCs/>
          <w:lang w:bidi="sv-SE"/>
        </w:rPr>
        <w:t>länets</w:t>
      </w:r>
      <w:r w:rsidR="0002009F" w:rsidRPr="00BB1F12">
        <w:rPr>
          <w:bCs/>
          <w:iCs/>
          <w:lang w:bidi="sv-SE"/>
        </w:rPr>
        <w:t xml:space="preserve"> medborgare</w:t>
      </w:r>
      <w:r w:rsidR="007B3FA6">
        <w:rPr>
          <w:bCs/>
          <w:iCs/>
          <w:lang w:bidi="sv-SE"/>
        </w:rPr>
        <w:t>.</w:t>
      </w:r>
      <w:r w:rsidR="0002009F" w:rsidRPr="00BB1F12">
        <w:rPr>
          <w:bCs/>
          <w:iCs/>
          <w:lang w:bidi="sv-SE"/>
        </w:rPr>
        <w:t xml:space="preserve"> </w:t>
      </w:r>
      <w:r w:rsidR="0002009F">
        <w:rPr>
          <w:bCs/>
          <w:iCs/>
          <w:lang w:bidi="sv-SE"/>
        </w:rPr>
        <w:t xml:space="preserve">För perioden 2011-2015 finns en folkhälsopolicy framtagen på ett liknande sätt. Dessa två dokument ska </w:t>
      </w:r>
      <w:r w:rsidR="00F67B82">
        <w:rPr>
          <w:bCs/>
          <w:iCs/>
          <w:lang w:bidi="sv-SE"/>
        </w:rPr>
        <w:t>komplettera varandra i styrning av landstingets och kommunernas egna och gemensamma arbete</w:t>
      </w:r>
      <w:r w:rsidR="007B3FA6">
        <w:rPr>
          <w:bCs/>
          <w:iCs/>
          <w:lang w:bidi="sv-SE"/>
        </w:rPr>
        <w:t>n</w:t>
      </w:r>
      <w:r w:rsidR="00F67B82">
        <w:rPr>
          <w:bCs/>
          <w:iCs/>
          <w:lang w:bidi="sv-SE"/>
        </w:rPr>
        <w:t xml:space="preserve">. </w:t>
      </w:r>
      <w:r w:rsidR="008022F8" w:rsidRPr="00F01DE3">
        <w:rPr>
          <w:bCs/>
          <w:iCs/>
          <w:color w:val="000000" w:themeColor="text1"/>
          <w:lang w:bidi="sv-SE"/>
        </w:rPr>
        <w:t xml:space="preserve">Precis som Folkhälsopolicyn tas beslut om </w:t>
      </w:r>
      <w:r w:rsidR="008022F8" w:rsidRPr="00F01DE3">
        <w:rPr>
          <w:bCs/>
          <w:i/>
          <w:iCs/>
          <w:color w:val="000000" w:themeColor="text1"/>
          <w:lang w:bidi="sv-SE"/>
        </w:rPr>
        <w:t>Mål för gemensam hälso- och sjukvårdspolitik 2014-2025</w:t>
      </w:r>
      <w:r w:rsidR="008022F8" w:rsidRPr="00F01DE3">
        <w:rPr>
          <w:bCs/>
          <w:iCs/>
          <w:color w:val="000000" w:themeColor="text1"/>
          <w:lang w:bidi="sv-SE"/>
        </w:rPr>
        <w:t xml:space="preserve"> i landstingsfullmäktige och länets 8 komm</w:t>
      </w:r>
      <w:r w:rsidR="00F01DE3">
        <w:rPr>
          <w:bCs/>
          <w:iCs/>
          <w:color w:val="000000" w:themeColor="text1"/>
          <w:lang w:bidi="sv-SE"/>
        </w:rPr>
        <w:t>uners fullmäktigeförsamlingar.</w:t>
      </w:r>
    </w:p>
    <w:p w:rsidR="00BB1F12" w:rsidRDefault="00F67B82" w:rsidP="00F147BE">
      <w:pPr>
        <w:tabs>
          <w:tab w:val="left" w:pos="1701"/>
        </w:tabs>
        <w:spacing w:before="120" w:after="120" w:line="276" w:lineRule="auto"/>
        <w:rPr>
          <w:bCs/>
          <w:iCs/>
          <w:lang w:bidi="sv-SE"/>
        </w:rPr>
      </w:pPr>
      <w:r>
        <w:rPr>
          <w:bCs/>
          <w:iCs/>
          <w:lang w:bidi="sv-SE"/>
        </w:rPr>
        <w:t>Till detta dokument kommer att kopplas</w:t>
      </w:r>
      <w:r w:rsidR="00BB1F12" w:rsidRPr="00BB1F12">
        <w:rPr>
          <w:bCs/>
          <w:iCs/>
          <w:lang w:bidi="sv-SE"/>
        </w:rPr>
        <w:t xml:space="preserve"> en, eller flera, konkret(a) handlingsplan(er) med detaljerade mål för uppföljning. </w:t>
      </w:r>
    </w:p>
    <w:p w:rsidR="0003151C" w:rsidRPr="0003151C" w:rsidRDefault="007E6FBD" w:rsidP="0003151C">
      <w:pPr>
        <w:pStyle w:val="Brdtext"/>
        <w:rPr>
          <w:lang w:bidi="sv-SE"/>
        </w:rPr>
      </w:pPr>
      <w:r>
        <w:rPr>
          <w:lang w:bidi="sv-SE"/>
        </w:rPr>
        <w:t>S</w:t>
      </w:r>
      <w:r w:rsidR="0003151C">
        <w:rPr>
          <w:lang w:bidi="sv-SE"/>
        </w:rPr>
        <w:t>ärskilt</w:t>
      </w:r>
      <w:r>
        <w:rPr>
          <w:lang w:bidi="sv-SE"/>
        </w:rPr>
        <w:t xml:space="preserve"> bör</w:t>
      </w:r>
      <w:r w:rsidR="0003151C">
        <w:rPr>
          <w:lang w:bidi="sv-SE"/>
        </w:rPr>
        <w:t xml:space="preserve"> påpeka</w:t>
      </w:r>
      <w:r>
        <w:rPr>
          <w:lang w:bidi="sv-SE"/>
        </w:rPr>
        <w:t>s</w:t>
      </w:r>
      <w:r w:rsidR="0003151C">
        <w:rPr>
          <w:lang w:bidi="sv-SE"/>
        </w:rPr>
        <w:t xml:space="preserve"> att detta dokument och dessa övergripande mål inte enbart är av intresse för vård- och omsorgsaktörer i länet. För att nå framgång i arbetet med förbättrad hälsa i länet måste all verksamhet bidra dvs skola, samhällsplanering mm.</w:t>
      </w:r>
    </w:p>
    <w:p w:rsidR="00F67B82" w:rsidRDefault="007E6FBD" w:rsidP="00F67B82">
      <w:pPr>
        <w:tabs>
          <w:tab w:val="left" w:pos="1701"/>
        </w:tabs>
        <w:spacing w:before="120" w:after="120" w:line="276" w:lineRule="auto"/>
        <w:rPr>
          <w:bCs/>
          <w:iCs/>
          <w:lang w:bidi="sv-SE"/>
        </w:rPr>
      </w:pPr>
      <w:r>
        <w:rPr>
          <w:bCs/>
          <w:iCs/>
          <w:lang w:bidi="sv-SE"/>
        </w:rPr>
        <w:t xml:space="preserve">Styrgruppens </w:t>
      </w:r>
      <w:r w:rsidR="00F67B82" w:rsidRPr="00F67B82">
        <w:rPr>
          <w:bCs/>
          <w:iCs/>
          <w:lang w:bidi="sv-SE"/>
        </w:rPr>
        <w:t xml:space="preserve">förhoppning är att det fortsatta </w:t>
      </w:r>
      <w:r w:rsidR="00F67B82">
        <w:rPr>
          <w:bCs/>
          <w:iCs/>
          <w:lang w:bidi="sv-SE"/>
        </w:rPr>
        <w:t xml:space="preserve">gemensamma arbetet ska ge resultat som tydligt visar att hälsan för länets befolkning 2025 är klart mycket bättre än dagens. </w:t>
      </w:r>
    </w:p>
    <w:p w:rsidR="00F67B82" w:rsidRPr="008022F8" w:rsidRDefault="00B164D0" w:rsidP="00F67B82">
      <w:pPr>
        <w:pStyle w:val="Brdtext"/>
        <w:rPr>
          <w:lang w:bidi="sv-SE"/>
        </w:rPr>
      </w:pPr>
      <w:r w:rsidRPr="008022F8">
        <w:rPr>
          <w:lang w:bidi="sv-SE"/>
        </w:rPr>
        <w:t xml:space="preserve">Landstingets Beredning för vård- och rehabilitering som haft uppdraget att tillsammans med kommunerna ta fram mål för Ny hälso- och sjukvårdspolitik kommer att genomföra en framtidsdag i december 2014. Där avser de att överlämna detta måldokument till </w:t>
      </w:r>
      <w:r w:rsidR="008022F8">
        <w:rPr>
          <w:lang w:bidi="sv-SE"/>
        </w:rPr>
        <w:t xml:space="preserve">länets </w:t>
      </w:r>
      <w:r w:rsidR="008022F8" w:rsidRPr="008022F8">
        <w:rPr>
          <w:lang w:bidi="sv-SE"/>
        </w:rPr>
        <w:t xml:space="preserve">politiska ledningar </w:t>
      </w:r>
      <w:r w:rsidR="008022F8">
        <w:rPr>
          <w:lang w:bidi="sv-SE"/>
        </w:rPr>
        <w:t>för kommande mandatperiod.</w:t>
      </w:r>
      <w:r w:rsidRPr="008022F8">
        <w:rPr>
          <w:lang w:bidi="sv-SE"/>
        </w:rPr>
        <w:t xml:space="preserve"> </w:t>
      </w:r>
    </w:p>
    <w:p w:rsidR="00F67B82" w:rsidRDefault="00F01DE3" w:rsidP="00F67B82">
      <w:pPr>
        <w:pStyle w:val="Brdtext"/>
        <w:rPr>
          <w:lang w:bidi="sv-SE"/>
        </w:rPr>
      </w:pPr>
      <w:r>
        <w:rPr>
          <w:lang w:bidi="sv-SE"/>
        </w:rPr>
        <w:t>Östersund 2013-10-31</w:t>
      </w:r>
    </w:p>
    <w:p w:rsidR="00F67B82" w:rsidRDefault="00F67B82" w:rsidP="00F67B82">
      <w:pPr>
        <w:pStyle w:val="Brdtext"/>
        <w:rPr>
          <w:lang w:bidi="sv-SE"/>
        </w:rPr>
      </w:pPr>
    </w:p>
    <w:p w:rsidR="00F67B82" w:rsidRDefault="00F67B82" w:rsidP="00F67B82">
      <w:pPr>
        <w:pStyle w:val="Brdtext"/>
        <w:rPr>
          <w:lang w:bidi="sv-SE"/>
        </w:rPr>
      </w:pPr>
      <w:r>
        <w:rPr>
          <w:lang w:bidi="sv-SE"/>
        </w:rPr>
        <w:t>Styrgrupp för detta arbete:</w:t>
      </w:r>
    </w:p>
    <w:p w:rsidR="00F67B82" w:rsidRDefault="00F67B82" w:rsidP="00F67B82">
      <w:pPr>
        <w:pStyle w:val="Brdtext"/>
        <w:rPr>
          <w:lang w:bidi="sv-SE"/>
        </w:rPr>
      </w:pPr>
    </w:p>
    <w:p w:rsidR="00F01DE3" w:rsidRPr="00F67B82" w:rsidRDefault="00F01DE3" w:rsidP="00F67B82">
      <w:pPr>
        <w:pStyle w:val="Brdtext"/>
        <w:rPr>
          <w:lang w:bidi="sv-SE"/>
        </w:rPr>
      </w:pPr>
    </w:p>
    <w:p w:rsidR="00F67B82" w:rsidRDefault="00F67B82" w:rsidP="00F67B82">
      <w:pPr>
        <w:pStyle w:val="Brdtext"/>
        <w:rPr>
          <w:lang w:bidi="sv-SE"/>
        </w:rPr>
      </w:pPr>
      <w:r>
        <w:rPr>
          <w:lang w:bidi="sv-SE"/>
        </w:rPr>
        <w:t>Anna Gundersson</w:t>
      </w:r>
      <w:r w:rsidR="008022F8">
        <w:rPr>
          <w:lang w:bidi="sv-SE"/>
        </w:rPr>
        <w:t xml:space="preserve"> (S)</w:t>
      </w:r>
      <w:r>
        <w:rPr>
          <w:lang w:bidi="sv-SE"/>
        </w:rPr>
        <w:tab/>
        <w:t>Berit Johansson</w:t>
      </w:r>
      <w:r w:rsidR="008022F8">
        <w:rPr>
          <w:lang w:bidi="sv-SE"/>
        </w:rPr>
        <w:t xml:space="preserve"> (C)</w:t>
      </w:r>
    </w:p>
    <w:p w:rsidR="008022F8" w:rsidRDefault="008022F8" w:rsidP="00F67B82">
      <w:pPr>
        <w:pStyle w:val="Brdtext"/>
        <w:rPr>
          <w:lang w:bidi="sv-SE"/>
        </w:rPr>
      </w:pPr>
      <w:r>
        <w:rPr>
          <w:lang w:bidi="sv-SE"/>
        </w:rPr>
        <w:t>Jämtlands läns landsting</w:t>
      </w:r>
      <w:r>
        <w:rPr>
          <w:lang w:bidi="sv-SE"/>
        </w:rPr>
        <w:tab/>
        <w:t>Jämtlands läns landsting</w:t>
      </w:r>
    </w:p>
    <w:p w:rsidR="00F67B82" w:rsidRDefault="00F67B82" w:rsidP="00F67B82">
      <w:pPr>
        <w:pStyle w:val="Brdtext"/>
        <w:rPr>
          <w:lang w:bidi="sv-SE"/>
        </w:rPr>
      </w:pPr>
    </w:p>
    <w:p w:rsidR="00F01DE3" w:rsidRDefault="00F01DE3" w:rsidP="00F67B82">
      <w:pPr>
        <w:pStyle w:val="Brdtext"/>
        <w:rPr>
          <w:lang w:bidi="sv-SE"/>
        </w:rPr>
      </w:pPr>
    </w:p>
    <w:p w:rsidR="00F67B82" w:rsidRDefault="008022F8" w:rsidP="00F67B82">
      <w:pPr>
        <w:pStyle w:val="Brdtext"/>
        <w:rPr>
          <w:lang w:bidi="sv-SE"/>
        </w:rPr>
      </w:pPr>
      <w:r>
        <w:rPr>
          <w:lang w:bidi="sv-SE"/>
        </w:rPr>
        <w:t>Mikael Abramsson (S)</w:t>
      </w:r>
      <w:r>
        <w:rPr>
          <w:lang w:bidi="sv-SE"/>
        </w:rPr>
        <w:tab/>
      </w:r>
      <w:r w:rsidR="00F67B82">
        <w:rPr>
          <w:lang w:bidi="sv-SE"/>
        </w:rPr>
        <w:t>Carina Zetterström</w:t>
      </w:r>
      <w:r>
        <w:rPr>
          <w:lang w:bidi="sv-SE"/>
        </w:rPr>
        <w:t xml:space="preserve"> (C)</w:t>
      </w:r>
      <w:r w:rsidR="00F67B82">
        <w:rPr>
          <w:lang w:bidi="sv-SE"/>
        </w:rPr>
        <w:tab/>
      </w:r>
    </w:p>
    <w:p w:rsidR="00F67B82" w:rsidRDefault="008022F8" w:rsidP="00F67B82">
      <w:pPr>
        <w:pStyle w:val="Brdtext"/>
        <w:rPr>
          <w:lang w:bidi="sv-SE"/>
        </w:rPr>
      </w:pPr>
      <w:r>
        <w:rPr>
          <w:lang w:bidi="sv-SE"/>
        </w:rPr>
        <w:t>Bergs kommun</w:t>
      </w:r>
      <w:r>
        <w:rPr>
          <w:lang w:bidi="sv-SE"/>
        </w:rPr>
        <w:tab/>
        <w:t>Östersunds kommun</w:t>
      </w:r>
    </w:p>
    <w:p w:rsidR="002348C5" w:rsidRPr="002348C5" w:rsidRDefault="002348C5" w:rsidP="002348C5">
      <w:pPr>
        <w:pStyle w:val="Brdtext"/>
        <w:rPr>
          <w:lang w:bidi="sv-SE"/>
        </w:rPr>
      </w:pPr>
    </w:p>
    <w:p w:rsidR="00F67B82" w:rsidRDefault="00060AC8" w:rsidP="00F67B82">
      <w:pPr>
        <w:pStyle w:val="Rubrik1"/>
        <w:spacing w:after="600"/>
        <w:ind w:left="431" w:hanging="431"/>
      </w:pPr>
      <w:bookmarkStart w:id="2" w:name="_Toc433200253"/>
      <w:r>
        <w:lastRenderedPageBreak/>
        <w:t>Läget</w:t>
      </w:r>
      <w:r w:rsidR="00F67B82">
        <w:t xml:space="preserve"> i länet</w:t>
      </w:r>
      <w:bookmarkEnd w:id="2"/>
    </w:p>
    <w:p w:rsidR="00F5059B" w:rsidRDefault="00437323" w:rsidP="00F67B82">
      <w:pPr>
        <w:pStyle w:val="Brdtext"/>
        <w:rPr>
          <w:lang w:bidi="sv-SE"/>
        </w:rPr>
      </w:pPr>
      <w:r>
        <w:rPr>
          <w:lang w:bidi="sv-SE"/>
        </w:rPr>
        <w:t xml:space="preserve">Under arbetet </w:t>
      </w:r>
      <w:r w:rsidR="007E6FBD">
        <w:rPr>
          <w:lang w:bidi="sv-SE"/>
        </w:rPr>
        <w:t xml:space="preserve">med ny hälso- och sjukvårdspolitik i länet </w:t>
      </w:r>
      <w:r>
        <w:rPr>
          <w:lang w:bidi="sv-SE"/>
        </w:rPr>
        <w:t>har många källor till kunskap om hälsoläget i länet identifierats. Det är inte brist på statistik, men möjligen brist på strukturera</w:t>
      </w:r>
      <w:r w:rsidR="00E414DF">
        <w:rPr>
          <w:lang w:bidi="sv-SE"/>
        </w:rPr>
        <w:t>t</w:t>
      </w:r>
      <w:r>
        <w:rPr>
          <w:lang w:bidi="sv-SE"/>
        </w:rPr>
        <w:t xml:space="preserve"> gemensamt nyttjande av den statistik som finns.</w:t>
      </w:r>
    </w:p>
    <w:p w:rsidR="007E6FBD" w:rsidRDefault="00437323" w:rsidP="00F67B82">
      <w:pPr>
        <w:pStyle w:val="Brdtext"/>
        <w:rPr>
          <w:lang w:bidi="sv-SE"/>
        </w:rPr>
      </w:pPr>
      <w:r>
        <w:rPr>
          <w:lang w:bidi="sv-SE"/>
        </w:rPr>
        <w:t xml:space="preserve">I bilaga </w:t>
      </w:r>
      <w:r w:rsidR="007E6FBD">
        <w:rPr>
          <w:lang w:bidi="sv-SE"/>
        </w:rPr>
        <w:t xml:space="preserve">1 </w:t>
      </w:r>
      <w:r>
        <w:rPr>
          <w:lang w:bidi="sv-SE"/>
        </w:rPr>
        <w:t>till detta dokument finns en sammanställning av några av de mått/indikatorer som</w:t>
      </w:r>
      <w:r w:rsidR="00E414DF">
        <w:rPr>
          <w:lang w:bidi="sv-SE"/>
        </w:rPr>
        <w:t xml:space="preserve"> kan</w:t>
      </w:r>
      <w:r>
        <w:rPr>
          <w:lang w:bidi="sv-SE"/>
        </w:rPr>
        <w:t xml:space="preserve"> användas för uppföljning av hälsoläget i länet. </w:t>
      </w:r>
      <w:r w:rsidR="00F5059B">
        <w:rPr>
          <w:lang w:bidi="sv-SE"/>
        </w:rPr>
        <w:t xml:space="preserve">Det ska ses som en beskrivning av hur hälsoläget i länet såg ut när detta måldokument antogs. Dessa indikatorer har mycket stark koppling till hälsa och om indikatormåtten förbättras vet vi att hälsoläget i Jämtlands län har förbättrats. </w:t>
      </w:r>
    </w:p>
    <w:p w:rsidR="00437323" w:rsidRDefault="00F5059B" w:rsidP="00F67B82">
      <w:pPr>
        <w:pStyle w:val="Brdtext"/>
        <w:rPr>
          <w:lang w:bidi="sv-SE"/>
        </w:rPr>
      </w:pPr>
      <w:r>
        <w:rPr>
          <w:lang w:bidi="sv-SE"/>
        </w:rPr>
        <w:t>I b</w:t>
      </w:r>
      <w:r w:rsidR="00437323">
        <w:rPr>
          <w:lang w:bidi="sv-SE"/>
        </w:rPr>
        <w:t>ilaga</w:t>
      </w:r>
      <w:r>
        <w:rPr>
          <w:lang w:bidi="sv-SE"/>
        </w:rPr>
        <w:t xml:space="preserve"> 2</w:t>
      </w:r>
      <w:r w:rsidR="00437323">
        <w:rPr>
          <w:lang w:bidi="sv-SE"/>
        </w:rPr>
        <w:t xml:space="preserve"> </w:t>
      </w:r>
      <w:r>
        <w:rPr>
          <w:lang w:bidi="sv-SE"/>
        </w:rPr>
        <w:t xml:space="preserve">finns en </w:t>
      </w:r>
      <w:r w:rsidR="007B3FA6">
        <w:rPr>
          <w:lang w:bidi="sv-SE"/>
        </w:rPr>
        <w:t xml:space="preserve">motsvarande </w:t>
      </w:r>
      <w:r>
        <w:rPr>
          <w:lang w:bidi="sv-SE"/>
        </w:rPr>
        <w:t xml:space="preserve">sammanfattning av läget i länet när det gäller vårdkvalitet. </w:t>
      </w:r>
      <w:r w:rsidR="00437323">
        <w:rPr>
          <w:lang w:bidi="sv-SE"/>
        </w:rPr>
        <w:t xml:space="preserve"> </w:t>
      </w:r>
    </w:p>
    <w:p w:rsidR="004455EE" w:rsidRDefault="004455EE" w:rsidP="00F67B82">
      <w:pPr>
        <w:pStyle w:val="Brdtext"/>
        <w:rPr>
          <w:lang w:bidi="sv-SE"/>
        </w:rPr>
      </w:pPr>
      <w:r>
        <w:rPr>
          <w:lang w:bidi="sv-SE"/>
        </w:rPr>
        <w:t>Det är viktigt att påpeka att</w:t>
      </w:r>
      <w:r w:rsidR="007B3FA6">
        <w:rPr>
          <w:lang w:bidi="sv-SE"/>
        </w:rPr>
        <w:t xml:space="preserve"> </w:t>
      </w:r>
      <w:r>
        <w:rPr>
          <w:lang w:bidi="sv-SE"/>
        </w:rPr>
        <w:t xml:space="preserve">det redan idag </w:t>
      </w:r>
      <w:r w:rsidR="009164D8" w:rsidRPr="009164D8">
        <w:rPr>
          <w:lang w:bidi="sv-SE"/>
        </w:rPr>
        <w:t xml:space="preserve">pågår </w:t>
      </w:r>
      <w:r>
        <w:rPr>
          <w:lang w:bidi="sv-SE"/>
        </w:rPr>
        <w:t>många samarbet</w:t>
      </w:r>
      <w:r w:rsidR="007B3FA6">
        <w:rPr>
          <w:lang w:bidi="sv-SE"/>
        </w:rPr>
        <w:t>en</w:t>
      </w:r>
      <w:r>
        <w:rPr>
          <w:lang w:bidi="sv-SE"/>
        </w:rPr>
        <w:t xml:space="preserve"> mellan landsting</w:t>
      </w:r>
      <w:r w:rsidR="007B3FA6">
        <w:rPr>
          <w:lang w:bidi="sv-SE"/>
        </w:rPr>
        <w:t>et</w:t>
      </w:r>
      <w:r>
        <w:rPr>
          <w:lang w:bidi="sv-SE"/>
        </w:rPr>
        <w:t xml:space="preserve"> och kommunerna </w:t>
      </w:r>
      <w:r w:rsidR="009164D8">
        <w:rPr>
          <w:lang w:bidi="sv-SE"/>
        </w:rPr>
        <w:t>och</w:t>
      </w:r>
      <w:r w:rsidR="007B3FA6">
        <w:rPr>
          <w:lang w:bidi="sv-SE"/>
        </w:rPr>
        <w:t xml:space="preserve"> att</w:t>
      </w:r>
      <w:r>
        <w:rPr>
          <w:lang w:bidi="sv-SE"/>
        </w:rPr>
        <w:t xml:space="preserve"> det är viktigt att hålla fast vid och fortsätta utveckl</w:t>
      </w:r>
      <w:r w:rsidR="007B3FA6">
        <w:rPr>
          <w:lang w:bidi="sv-SE"/>
        </w:rPr>
        <w:t>ingen av dessa</w:t>
      </w:r>
      <w:r>
        <w:rPr>
          <w:lang w:bidi="sv-SE"/>
        </w:rPr>
        <w:t xml:space="preserve">. Detta </w:t>
      </w:r>
      <w:r w:rsidR="007B3FA6">
        <w:rPr>
          <w:lang w:bidi="sv-SE"/>
        </w:rPr>
        <w:t>mål</w:t>
      </w:r>
      <w:r>
        <w:rPr>
          <w:lang w:bidi="sv-SE"/>
        </w:rPr>
        <w:t>dokument vill</w:t>
      </w:r>
      <w:r w:rsidR="009164D8">
        <w:rPr>
          <w:lang w:bidi="sv-SE"/>
        </w:rPr>
        <w:t>,</w:t>
      </w:r>
      <w:r>
        <w:rPr>
          <w:lang w:bidi="sv-SE"/>
        </w:rPr>
        <w:t xml:space="preserve"> utöver de</w:t>
      </w:r>
      <w:r w:rsidR="007B3FA6">
        <w:rPr>
          <w:lang w:bidi="sv-SE"/>
        </w:rPr>
        <w:t>ssa samarbetsområden</w:t>
      </w:r>
      <w:r w:rsidR="009164D8">
        <w:rPr>
          <w:lang w:bidi="sv-SE"/>
        </w:rPr>
        <w:t>,</w:t>
      </w:r>
      <w:r w:rsidR="007B3FA6">
        <w:rPr>
          <w:lang w:bidi="sv-SE"/>
        </w:rPr>
        <w:t xml:space="preserve"> </w:t>
      </w:r>
      <w:r>
        <w:rPr>
          <w:lang w:bidi="sv-SE"/>
        </w:rPr>
        <w:t xml:space="preserve">poängtera områden och behov som </w:t>
      </w:r>
      <w:r w:rsidR="007B3FA6">
        <w:rPr>
          <w:lang w:bidi="sv-SE"/>
        </w:rPr>
        <w:t xml:space="preserve">behöver </w:t>
      </w:r>
      <w:r>
        <w:rPr>
          <w:lang w:bidi="sv-SE"/>
        </w:rPr>
        <w:t>ytterligare förbättras</w:t>
      </w:r>
      <w:r w:rsidR="009164D8">
        <w:rPr>
          <w:lang w:bidi="sv-SE"/>
        </w:rPr>
        <w:t xml:space="preserve"> och</w:t>
      </w:r>
      <w:r>
        <w:rPr>
          <w:lang w:bidi="sv-SE"/>
        </w:rPr>
        <w:t xml:space="preserve"> förstärkas</w:t>
      </w:r>
      <w:r w:rsidR="009164D8">
        <w:rPr>
          <w:lang w:bidi="sv-SE"/>
        </w:rPr>
        <w:t xml:space="preserve"> samt utvecklas</w:t>
      </w:r>
      <w:r>
        <w:rPr>
          <w:lang w:bidi="sv-SE"/>
        </w:rPr>
        <w:t xml:space="preserve">. </w:t>
      </w:r>
    </w:p>
    <w:p w:rsidR="004455EE" w:rsidRDefault="004455EE" w:rsidP="00F67B82">
      <w:pPr>
        <w:pStyle w:val="Brdtext"/>
        <w:rPr>
          <w:lang w:bidi="sv-SE"/>
        </w:rPr>
      </w:pPr>
    </w:p>
    <w:p w:rsidR="00A93FD7" w:rsidRDefault="0003151C" w:rsidP="0039147B">
      <w:pPr>
        <w:pStyle w:val="Rubrik1"/>
        <w:spacing w:after="600"/>
        <w:ind w:left="431" w:hanging="431"/>
      </w:pPr>
      <w:bookmarkStart w:id="3" w:name="_Toc433200254"/>
      <w:r>
        <w:t>Andra styrande dokument som behöver beaktas</w:t>
      </w:r>
      <w:bookmarkEnd w:id="3"/>
    </w:p>
    <w:p w:rsidR="00E71570" w:rsidRDefault="00F36827" w:rsidP="007077EE">
      <w:pPr>
        <w:pStyle w:val="Brdtext"/>
      </w:pPr>
      <w:r>
        <w:t>Det finns tre</w:t>
      </w:r>
      <w:r w:rsidR="00E71570">
        <w:t xml:space="preserve"> övergripande </w:t>
      </w:r>
      <w:r w:rsidR="001B090A">
        <w:t>styr</w:t>
      </w:r>
      <w:r w:rsidR="00E71570">
        <w:t>dokument som detta måldokument</w:t>
      </w:r>
      <w:r w:rsidR="001B090A">
        <w:t xml:space="preserve"> ska relatera </w:t>
      </w:r>
      <w:r w:rsidR="00E71570">
        <w:t>till</w:t>
      </w:r>
      <w:r w:rsidR="00A32E42">
        <w:t>.</w:t>
      </w:r>
      <w:r w:rsidR="001B090A">
        <w:t xml:space="preserve"> </w:t>
      </w:r>
      <w:r w:rsidR="00A32E42">
        <w:t xml:space="preserve">Det innebär att måldokumentet ska utveckla en framtida länsgemensam hälso- och sjukvårdspolitik ur ett övergripande perspektiv och med vetskapen om </w:t>
      </w:r>
      <w:r w:rsidR="001B090A">
        <w:t xml:space="preserve">hälso- och sjukvårdens roll </w:t>
      </w:r>
      <w:r w:rsidR="00A32E42">
        <w:t>för</w:t>
      </w:r>
      <w:r w:rsidR="001B090A">
        <w:t xml:space="preserve"> länets utveckling</w:t>
      </w:r>
      <w:r w:rsidR="00E71570">
        <w:t>:</w:t>
      </w:r>
    </w:p>
    <w:p w:rsidR="00E71570" w:rsidRDefault="00E71570" w:rsidP="00F36827">
      <w:pPr>
        <w:pStyle w:val="Brdtext"/>
        <w:numPr>
          <w:ilvl w:val="1"/>
          <w:numId w:val="6"/>
        </w:numPr>
      </w:pPr>
      <w:r>
        <w:t>Regionala utvecklingsstrategin (RUS)</w:t>
      </w:r>
    </w:p>
    <w:p w:rsidR="00E71570" w:rsidRDefault="00E71570" w:rsidP="00F36827">
      <w:pPr>
        <w:pStyle w:val="Brdtext"/>
        <w:numPr>
          <w:ilvl w:val="1"/>
          <w:numId w:val="6"/>
        </w:numPr>
      </w:pPr>
      <w:r>
        <w:t>Folkhälsopolicyn</w:t>
      </w:r>
    </w:p>
    <w:p w:rsidR="00E71570" w:rsidRDefault="00E71570" w:rsidP="00F36827">
      <w:pPr>
        <w:pStyle w:val="Brdtext"/>
        <w:numPr>
          <w:ilvl w:val="1"/>
          <w:numId w:val="6"/>
        </w:numPr>
      </w:pPr>
      <w:r>
        <w:t>Ungdomsstrategin</w:t>
      </w:r>
    </w:p>
    <w:p w:rsidR="00E414DF" w:rsidRPr="00F01DE3" w:rsidRDefault="00E414DF" w:rsidP="00F01DE3">
      <w:pPr>
        <w:pStyle w:val="Rubrik2"/>
      </w:pPr>
      <w:bookmarkStart w:id="4" w:name="_Toc433200255"/>
      <w:r w:rsidRPr="00F01DE3">
        <w:t>Regionala utvecklingsstrategin (RUS)</w:t>
      </w:r>
      <w:bookmarkEnd w:id="4"/>
    </w:p>
    <w:p w:rsidR="007077EE" w:rsidRPr="007077EE" w:rsidRDefault="007077EE" w:rsidP="007077EE">
      <w:pPr>
        <w:pStyle w:val="Brdtext"/>
      </w:pPr>
      <w:r w:rsidRPr="007077EE">
        <w:t xml:space="preserve">I </w:t>
      </w:r>
      <w:r w:rsidRPr="00E71570">
        <w:rPr>
          <w:b/>
        </w:rPr>
        <w:t>den regionala utvecklingsstrategi</w:t>
      </w:r>
      <w:r w:rsidRPr="007077EE">
        <w:t xml:space="preserve">n 2009 är länets vision </w:t>
      </w:r>
      <w:r w:rsidR="00DF1194">
        <w:t>”</w:t>
      </w:r>
      <w:r w:rsidRPr="007077EE">
        <w:t>Jämtlands län - en region</w:t>
      </w:r>
      <w:r>
        <w:t xml:space="preserve"> </w:t>
      </w:r>
      <w:r w:rsidR="00DF1194">
        <w:t>att längta till och växa i”. Visionen fortsätter ”</w:t>
      </w:r>
      <w:r w:rsidRPr="007077EE">
        <w:t>I</w:t>
      </w:r>
      <w:r w:rsidR="00DF1194">
        <w:t xml:space="preserve"> </w:t>
      </w:r>
      <w:r w:rsidRPr="007077EE">
        <w:t>Jämtlands län år 2020 är en region där många</w:t>
      </w:r>
      <w:r w:rsidR="00DF1194">
        <w:t xml:space="preserve"> </w:t>
      </w:r>
      <w:r w:rsidRPr="007077EE">
        <w:t>vill bo och v</w:t>
      </w:r>
      <w:r w:rsidR="00DF1194">
        <w:t>erka och dit många vill res</w:t>
      </w:r>
      <w:r w:rsidR="004F33D2">
        <w:t>a</w:t>
      </w:r>
      <w:r w:rsidR="00DF1194">
        <w:t xml:space="preserve">. </w:t>
      </w:r>
      <w:r w:rsidRPr="007077EE">
        <w:t>Regionen präglas av drivkraft och en attraktiv livsmiljö</w:t>
      </w:r>
      <w:r w:rsidR="00DF1194">
        <w:t>”. RUSen definierar därefter några övergripande mål där ett är ”</w:t>
      </w:r>
      <w:r w:rsidRPr="007077EE">
        <w:t>Länet har en väl fungerande vård och omsorg</w:t>
      </w:r>
      <w:r w:rsidR="00DF1194">
        <w:t>”.</w:t>
      </w:r>
    </w:p>
    <w:p w:rsidR="007077EE" w:rsidRDefault="00DF1194" w:rsidP="00DF1194">
      <w:pPr>
        <w:pStyle w:val="Brdtext"/>
      </w:pPr>
      <w:r>
        <w:t xml:space="preserve">I RUSens avsnitt om livsmiljö och stark attraktionskraft anges viktiga beståndsdelar för attraktionskraften och där nämns bl a </w:t>
      </w:r>
      <w:r w:rsidRPr="00DF1194">
        <w:t>God hälsa och välbefinnande</w:t>
      </w:r>
      <w:r>
        <w:t>. RUSen beskriver det så här: ”</w:t>
      </w:r>
      <w:r w:rsidRPr="00DF1194">
        <w:t>Den goda miljön och attraktiva omgivningar</w:t>
      </w:r>
      <w:r>
        <w:t xml:space="preserve"> </w:t>
      </w:r>
      <w:r w:rsidRPr="00DF1194">
        <w:t>ger goda förutsättningar för både hälsa</w:t>
      </w:r>
      <w:r>
        <w:t xml:space="preserve"> </w:t>
      </w:r>
      <w:r w:rsidRPr="00DF1194">
        <w:t>och välbefinnande. Arbetslivet ska</w:t>
      </w:r>
      <w:r>
        <w:t xml:space="preserve"> </w:t>
      </w:r>
      <w:r w:rsidRPr="00DF1194">
        <w:t>kunna hantera förändring och utveckling</w:t>
      </w:r>
      <w:r>
        <w:t xml:space="preserve"> </w:t>
      </w:r>
      <w:r w:rsidRPr="00DF1194">
        <w:t>och, genom engagerade, delaktiga och</w:t>
      </w:r>
      <w:r>
        <w:t xml:space="preserve"> </w:t>
      </w:r>
      <w:r w:rsidRPr="00DF1194">
        <w:t>kunniga medarbetare, bidra till hållbar</w:t>
      </w:r>
      <w:r>
        <w:t xml:space="preserve"> </w:t>
      </w:r>
      <w:r w:rsidRPr="00DF1194">
        <w:t>hälsa och tillväxt i länet. En väl fungerande</w:t>
      </w:r>
      <w:r>
        <w:t xml:space="preserve"> </w:t>
      </w:r>
      <w:r w:rsidRPr="00DF1194">
        <w:t>arbetsmarknad bidrar också till låga sjuktal.</w:t>
      </w:r>
      <w:r>
        <w:t xml:space="preserve"> </w:t>
      </w:r>
      <w:r w:rsidRPr="00DF1194">
        <w:t>De nuvarande höga sjuktalen i länet måste</w:t>
      </w:r>
      <w:r>
        <w:t xml:space="preserve"> </w:t>
      </w:r>
      <w:r w:rsidRPr="00DF1194">
        <w:t>minska kraftigt.</w:t>
      </w:r>
      <w:r>
        <w:t xml:space="preserve"> </w:t>
      </w:r>
      <w:r w:rsidRPr="00DF1194">
        <w:t>Folkhälsoperspektivet bör beaktas i</w:t>
      </w:r>
      <w:r>
        <w:t xml:space="preserve"> </w:t>
      </w:r>
      <w:r w:rsidRPr="00DF1194">
        <w:t>översiktsplanarbetet hos kommunerna och i</w:t>
      </w:r>
      <w:r>
        <w:t xml:space="preserve"> </w:t>
      </w:r>
      <w:r w:rsidRPr="00DF1194">
        <w:t>fördjupningar i olika delar ska alltid invånare,</w:t>
      </w:r>
      <w:r>
        <w:t xml:space="preserve"> </w:t>
      </w:r>
      <w:r w:rsidRPr="00DF1194">
        <w:t xml:space="preserve">organisationer </w:t>
      </w:r>
      <w:r w:rsidRPr="00DF1194">
        <w:lastRenderedPageBreak/>
        <w:t>och företag i landsbygden</w:t>
      </w:r>
      <w:r>
        <w:t xml:space="preserve"> </w:t>
      </w:r>
      <w:r w:rsidRPr="00DF1194">
        <w:t>ges goda möjligheter att medverka.</w:t>
      </w:r>
      <w:r>
        <w:t xml:space="preserve"> </w:t>
      </w:r>
      <w:r w:rsidRPr="00DF1194">
        <w:t>Målet är att Jämtlands län år 2020 ska ha</w:t>
      </w:r>
      <w:r>
        <w:t xml:space="preserve"> </w:t>
      </w:r>
      <w:r w:rsidRPr="00DF1194">
        <w:t>bland de lägsta sjuktalen i landet.</w:t>
      </w:r>
    </w:p>
    <w:p w:rsidR="006A03BB" w:rsidRPr="006A03BB" w:rsidRDefault="006A03BB" w:rsidP="006A03BB">
      <w:pPr>
        <w:pStyle w:val="Brdtext"/>
      </w:pPr>
      <w:r>
        <w:t>I det förslag till ny RUS 2014-2030 som är ute på remiss finns TILLVÄXT FÖR ALL</w:t>
      </w:r>
      <w:r w:rsidR="001B090A">
        <w:t>A</w:t>
      </w:r>
      <w:r>
        <w:t xml:space="preserve"> som ett prioriterat område. Underrubriken är ”socialt inkluderande och ett sunt liv”. Framtidsbilden anges som: ”</w:t>
      </w:r>
      <w:r w:rsidRPr="006A03BB">
        <w:rPr>
          <w:iCs/>
        </w:rPr>
        <w:t xml:space="preserve">Hela befolkningen i länet har samma villkor för hälsa och välbefinnande och länets ohälsotal ligger lägre än den nationella nivån. Den sociala välfärden är jämlik och jämställd och oberoende av var i länet brukaren bor. Genom samverkansavtal med universitetssjukhus erbjuds länsinvånarna högkvalificerad vård i den mån länet själv inte har kapacitet. Den trygghet som invånarna upplever i länet är samtidigt en inflyttningsanledning för nya medborgare. En hållbar utveckling i Jämtlands län. Länets goda förutsättningar för en aktiv fritid tillsammans med ett aktivt arbete för goda vanor hos unga gör att Jämtland förknippas med ett sunt liv.” </w:t>
      </w:r>
    </w:p>
    <w:p w:rsidR="006A03BB" w:rsidRPr="006A03BB" w:rsidRDefault="006A03BB" w:rsidP="00AB3FB3">
      <w:pPr>
        <w:pStyle w:val="Brdtext"/>
        <w:spacing w:after="0"/>
      </w:pPr>
      <w:r>
        <w:t xml:space="preserve">De </w:t>
      </w:r>
      <w:r w:rsidRPr="006A03BB">
        <w:t>ÖVERGRIPANDE MÅL</w:t>
      </w:r>
      <w:r w:rsidR="002764DD">
        <w:t>EN</w:t>
      </w:r>
      <w:r w:rsidRPr="006A03BB">
        <w:t xml:space="preserve"> 2030 </w:t>
      </w:r>
      <w:r>
        <w:t>i RUSen är:</w:t>
      </w:r>
    </w:p>
    <w:p w:rsidR="006A03BB" w:rsidRPr="006A03BB" w:rsidRDefault="002764DD" w:rsidP="00AB3FB3">
      <w:pPr>
        <w:pStyle w:val="Brdtext"/>
        <w:numPr>
          <w:ilvl w:val="0"/>
          <w:numId w:val="2"/>
        </w:numPr>
        <w:spacing w:after="0"/>
      </w:pPr>
      <w:r>
        <w:t>H</w:t>
      </w:r>
      <w:r w:rsidR="006A03BB" w:rsidRPr="006A03BB">
        <w:t xml:space="preserve">älsa på lika villkor för hela befolkningen </w:t>
      </w:r>
    </w:p>
    <w:p w:rsidR="006A03BB" w:rsidRPr="006A03BB" w:rsidRDefault="006A03BB" w:rsidP="00AB3FB3">
      <w:pPr>
        <w:pStyle w:val="Brdtext"/>
        <w:numPr>
          <w:ilvl w:val="0"/>
          <w:numId w:val="2"/>
        </w:numPr>
        <w:spacing w:after="0"/>
      </w:pPr>
      <w:r w:rsidRPr="006A03BB">
        <w:t xml:space="preserve">I Jämtland har alla lika förutsättningar oavsett funktionsförmåga </w:t>
      </w:r>
    </w:p>
    <w:p w:rsidR="006A03BB" w:rsidRPr="006A03BB" w:rsidRDefault="006A03BB" w:rsidP="00AB3FB3">
      <w:pPr>
        <w:pStyle w:val="Brdtext"/>
        <w:numPr>
          <w:ilvl w:val="0"/>
          <w:numId w:val="2"/>
        </w:numPr>
        <w:spacing w:after="0"/>
      </w:pPr>
      <w:r w:rsidRPr="006A03BB">
        <w:t xml:space="preserve">Jämtland upplevs som landets tryggaste län </w:t>
      </w:r>
    </w:p>
    <w:p w:rsidR="006A03BB" w:rsidRPr="006A03BB" w:rsidRDefault="006A03BB" w:rsidP="00AB3FB3">
      <w:pPr>
        <w:pStyle w:val="Brdtext"/>
        <w:numPr>
          <w:ilvl w:val="0"/>
          <w:numId w:val="2"/>
        </w:numPr>
        <w:spacing w:after="0"/>
      </w:pPr>
      <w:r w:rsidRPr="006A03BB">
        <w:t xml:space="preserve">En väl fungerade jämlik och jämställd social välfärd </w:t>
      </w:r>
    </w:p>
    <w:p w:rsidR="006A03BB" w:rsidRPr="006A03BB" w:rsidRDefault="006A03BB" w:rsidP="00AB3FB3">
      <w:pPr>
        <w:pStyle w:val="Brdtext"/>
        <w:numPr>
          <w:ilvl w:val="0"/>
          <w:numId w:val="2"/>
        </w:numPr>
        <w:spacing w:after="0"/>
      </w:pPr>
      <w:r w:rsidRPr="006A03BB">
        <w:t>Hälso- och sjukvården erbjuder länsinvånarna högkvalificerad vård</w:t>
      </w:r>
      <w:r w:rsidR="009164D8">
        <w:t>.</w:t>
      </w:r>
      <w:r w:rsidRPr="006A03BB">
        <w:t xml:space="preserve"> </w:t>
      </w:r>
    </w:p>
    <w:p w:rsidR="006A03BB" w:rsidRDefault="006A03BB" w:rsidP="00E71570">
      <w:pPr>
        <w:pStyle w:val="Brdtext"/>
      </w:pPr>
    </w:p>
    <w:p w:rsidR="004F33D2" w:rsidRDefault="004F33D2" w:rsidP="00F01DE3">
      <w:pPr>
        <w:pStyle w:val="Rubrik2"/>
      </w:pPr>
      <w:bookmarkStart w:id="5" w:name="_Toc433200256"/>
      <w:r>
        <w:t>Folkhälsopolicyn 2011-2015</w:t>
      </w:r>
      <w:bookmarkEnd w:id="5"/>
    </w:p>
    <w:p w:rsidR="00E71570" w:rsidRDefault="00E71570" w:rsidP="00FB012A">
      <w:pPr>
        <w:pStyle w:val="Brdtext"/>
      </w:pPr>
      <w:r>
        <w:t xml:space="preserve">I </w:t>
      </w:r>
      <w:r w:rsidRPr="00FB012A">
        <w:rPr>
          <w:b/>
        </w:rPr>
        <w:t>folkhälsopolicyn</w:t>
      </w:r>
      <w:r>
        <w:t xml:space="preserve"> </w:t>
      </w:r>
      <w:r w:rsidR="00FB012A">
        <w:t xml:space="preserve">är visionen </w:t>
      </w:r>
      <w:r w:rsidR="00FB012A" w:rsidRPr="00FB012A">
        <w:t>”Hälsa på lika villkor för hela befolkningen</w:t>
      </w:r>
      <w:r w:rsidR="00FB012A">
        <w:t xml:space="preserve"> </w:t>
      </w:r>
      <w:r w:rsidR="00FB012A" w:rsidRPr="00FB012A">
        <w:t>för en hållbar utveckling i Jämtlands län.”</w:t>
      </w:r>
      <w:r w:rsidR="00FB012A">
        <w:t xml:space="preserve"> Folkhälsopolicyn fokuserar på fyra insatsområden: </w:t>
      </w:r>
    </w:p>
    <w:p w:rsidR="00FB012A" w:rsidRDefault="00FB012A" w:rsidP="00F36827">
      <w:pPr>
        <w:pStyle w:val="Brdtext"/>
        <w:numPr>
          <w:ilvl w:val="0"/>
          <w:numId w:val="15"/>
        </w:numPr>
      </w:pPr>
      <w:r>
        <w:t>Trygga uppväxtvillkor</w:t>
      </w:r>
      <w:r w:rsidRPr="00FB012A">
        <w:t xml:space="preserve"> </w:t>
      </w:r>
      <w:r w:rsidR="001B090A">
        <w:br/>
      </w:r>
      <w:r w:rsidR="008022F8">
        <w:t xml:space="preserve">- </w:t>
      </w:r>
      <w:r>
        <w:t>En god föräldra-/barnrelation. Goda sociala villkor för barnfamiljer. En trygg ekonomisk situation.</w:t>
      </w:r>
    </w:p>
    <w:p w:rsidR="00FB012A" w:rsidRDefault="00FB012A" w:rsidP="00F36827">
      <w:pPr>
        <w:pStyle w:val="Brdtext"/>
        <w:numPr>
          <w:ilvl w:val="0"/>
          <w:numId w:val="15"/>
        </w:numPr>
      </w:pPr>
      <w:r>
        <w:t>Utbildning och arbete</w:t>
      </w:r>
      <w:r w:rsidR="001B090A">
        <w:br/>
      </w:r>
      <w:r>
        <w:t xml:space="preserve"> - </w:t>
      </w:r>
      <w:r w:rsidRPr="00FB012A">
        <w:t>En förskola/skola som ger alla samma</w:t>
      </w:r>
      <w:r>
        <w:t xml:space="preserve"> </w:t>
      </w:r>
      <w:r w:rsidRPr="00FB012A">
        <w:t>förutsättningar, oavsett var du bor.</w:t>
      </w:r>
      <w:r>
        <w:t xml:space="preserve"> </w:t>
      </w:r>
      <w:r w:rsidRPr="00FB012A">
        <w:t xml:space="preserve"> Hälsofrämjande skolutveckling.</w:t>
      </w:r>
      <w:r>
        <w:t xml:space="preserve"> </w:t>
      </w:r>
      <w:r w:rsidRPr="00FB012A">
        <w:t xml:space="preserve"> Ett brett utbildningsutbud som även</w:t>
      </w:r>
      <w:r>
        <w:t xml:space="preserve"> </w:t>
      </w:r>
      <w:r w:rsidRPr="00FB012A">
        <w:t>är lokalt anpassat.</w:t>
      </w:r>
      <w:r>
        <w:t xml:space="preserve"> </w:t>
      </w:r>
      <w:r w:rsidRPr="00FB012A">
        <w:t xml:space="preserve"> Framtidsinriktad</w:t>
      </w:r>
      <w:r w:rsidR="00633997">
        <w:t xml:space="preserve"> </w:t>
      </w:r>
      <w:r w:rsidRPr="00FB012A">
        <w:t>och arbetsmarknadsanpassad</w:t>
      </w:r>
      <w:r>
        <w:t xml:space="preserve"> </w:t>
      </w:r>
      <w:r w:rsidRPr="00FB012A">
        <w:t>utbildning.</w:t>
      </w:r>
      <w:r>
        <w:t xml:space="preserve">  </w:t>
      </w:r>
      <w:r w:rsidRPr="00FB012A">
        <w:t>Att ta vara på mångfalden i arbetslivet.</w:t>
      </w:r>
      <w:r>
        <w:t xml:space="preserve"> </w:t>
      </w:r>
      <w:r w:rsidRPr="00FB012A">
        <w:t xml:space="preserve"> Verktyg för att våra medborgare ska</w:t>
      </w:r>
      <w:r>
        <w:t xml:space="preserve"> </w:t>
      </w:r>
      <w:r w:rsidRPr="00FB012A">
        <w:t>kunna stanna kvar i eller återkomma</w:t>
      </w:r>
      <w:r>
        <w:t xml:space="preserve"> </w:t>
      </w:r>
      <w:r w:rsidRPr="00FB012A">
        <w:t>till arbetslivet.</w:t>
      </w:r>
      <w:r>
        <w:t xml:space="preserve"> </w:t>
      </w:r>
      <w:r w:rsidRPr="00FB012A">
        <w:t>Möjligheter till livslångt lärande.</w:t>
      </w:r>
      <w:r>
        <w:t xml:space="preserve"> </w:t>
      </w:r>
      <w:r w:rsidRPr="00FB012A">
        <w:t>Att utveckla samarbete mellan olika</w:t>
      </w:r>
      <w:r>
        <w:t xml:space="preserve"> </w:t>
      </w:r>
      <w:r w:rsidRPr="00FB012A">
        <w:t>aktörer för en tryggare arbetsmarknad</w:t>
      </w:r>
      <w:r>
        <w:t xml:space="preserve"> </w:t>
      </w:r>
      <w:r w:rsidRPr="00FB012A">
        <w:t>för ungdomar.</w:t>
      </w:r>
    </w:p>
    <w:p w:rsidR="00FB012A" w:rsidRDefault="00FB012A" w:rsidP="00F36827">
      <w:pPr>
        <w:pStyle w:val="Brdtext"/>
        <w:numPr>
          <w:ilvl w:val="0"/>
          <w:numId w:val="15"/>
        </w:numPr>
      </w:pPr>
      <w:r>
        <w:t>Hälsofrämjande miljö</w:t>
      </w:r>
      <w:r w:rsidR="001B090A">
        <w:br/>
      </w:r>
      <w:r>
        <w:t xml:space="preserve"> - Att i alla planeringsprocesser väga in fysiska, psykiska, sociala och trygghetsaspekter. Social gemenskap i när- och bostadsområde som utgör stödjande nätverk.  Fritids- och kulturutbud som formar identiteter, kulturer och livsprojekt.  Att samlokalisera arenor för möten mellan alla grupper av människor. Att naturmiljöer och grönområden finns tillgängliga på nära håll. Ett fokus på hälsosamt åldrande och dess möjligheter i olika miljöer.</w:t>
      </w:r>
    </w:p>
    <w:p w:rsidR="00FB012A" w:rsidRDefault="00FB012A" w:rsidP="00F36827">
      <w:pPr>
        <w:pStyle w:val="Brdtext"/>
        <w:numPr>
          <w:ilvl w:val="0"/>
          <w:numId w:val="15"/>
        </w:numPr>
      </w:pPr>
      <w:r>
        <w:t xml:space="preserve">Delaktighet och Inflytande </w:t>
      </w:r>
      <w:r w:rsidR="001B090A">
        <w:br/>
      </w:r>
      <w:r>
        <w:t xml:space="preserve">- </w:t>
      </w:r>
      <w:r w:rsidRPr="00FB012A">
        <w:t>Förbättrade möjligheter till inflytande,</w:t>
      </w:r>
      <w:r>
        <w:t xml:space="preserve"> </w:t>
      </w:r>
      <w:r w:rsidRPr="00FB012A">
        <w:t>kontroll och att kunna påverka sitt liv.</w:t>
      </w:r>
      <w:r>
        <w:t xml:space="preserve"> </w:t>
      </w:r>
      <w:r w:rsidRPr="00FB012A">
        <w:t xml:space="preserve"> Ökade möjligheter för medborgarna</w:t>
      </w:r>
      <w:r>
        <w:t xml:space="preserve"> </w:t>
      </w:r>
      <w:r w:rsidRPr="00FB012A">
        <w:t>att vara delaktiga i styrning och</w:t>
      </w:r>
      <w:r>
        <w:t xml:space="preserve"> </w:t>
      </w:r>
      <w:r w:rsidRPr="00FB012A">
        <w:t xml:space="preserve">utveckling av </w:t>
      </w:r>
      <w:r>
        <w:t>s</w:t>
      </w:r>
      <w:r w:rsidRPr="00FB012A">
        <w:t>amhället – av särskild</w:t>
      </w:r>
      <w:r>
        <w:t xml:space="preserve"> </w:t>
      </w:r>
      <w:r w:rsidRPr="00FB012A">
        <w:t>stor vikt när det gäller jämställdhet,</w:t>
      </w:r>
      <w:r>
        <w:t xml:space="preserve"> </w:t>
      </w:r>
      <w:r w:rsidRPr="00FB012A">
        <w:t>integration, funktionsnedsättning</w:t>
      </w:r>
      <w:r>
        <w:t xml:space="preserve"> </w:t>
      </w:r>
      <w:r w:rsidRPr="00FB012A">
        <w:t>och arbetsmarknad.</w:t>
      </w:r>
      <w:r>
        <w:t xml:space="preserve"> </w:t>
      </w:r>
      <w:r w:rsidRPr="00FB012A">
        <w:t>Ett öppnare beslutsfattande och en</w:t>
      </w:r>
      <w:r>
        <w:t xml:space="preserve"> </w:t>
      </w:r>
      <w:r w:rsidRPr="00FB012A">
        <w:t>positiv inställning till dialoger.</w:t>
      </w:r>
      <w:r>
        <w:t xml:space="preserve"> </w:t>
      </w:r>
      <w:r w:rsidRPr="00FB012A">
        <w:t>Hälsofrämjande ledarskap som främjar</w:t>
      </w:r>
      <w:r>
        <w:t xml:space="preserve"> </w:t>
      </w:r>
      <w:r w:rsidRPr="00FB012A">
        <w:t>delaktighet och inflytande.</w:t>
      </w:r>
    </w:p>
    <w:p w:rsidR="004F33D2" w:rsidRDefault="004F33D2" w:rsidP="00F01DE3">
      <w:pPr>
        <w:pStyle w:val="Rubrik2"/>
      </w:pPr>
      <w:bookmarkStart w:id="6" w:name="_Toc433200257"/>
      <w:r>
        <w:lastRenderedPageBreak/>
        <w:t>Ungdomsstrategi</w:t>
      </w:r>
      <w:bookmarkEnd w:id="6"/>
    </w:p>
    <w:p w:rsidR="00E71570" w:rsidRDefault="00E7637E" w:rsidP="00E71570">
      <w:pPr>
        <w:pStyle w:val="Brdtext"/>
      </w:pPr>
      <w:r>
        <w:t xml:space="preserve">Regionförbundet har gjort en ungdomsutredning som ska ligga till grund för </w:t>
      </w:r>
      <w:r w:rsidR="001B090A">
        <w:t>framtagandet av</w:t>
      </w:r>
      <w:r>
        <w:t xml:space="preserve"> en ungdomsstrategi. Arbetet inleddes med workshop 2013-03-27. När ungdomsstrategin är klar är även den ett dokument som knyter an till målen för Framtidens hälso- och sjukvårdspolitik. </w:t>
      </w:r>
    </w:p>
    <w:p w:rsidR="004F33D2" w:rsidRDefault="004F33D2" w:rsidP="00F01DE3">
      <w:pPr>
        <w:pStyle w:val="Rubrik2"/>
      </w:pPr>
      <w:bookmarkStart w:id="7" w:name="_Toc433200258"/>
      <w:r>
        <w:t>Riksdagens riktlinjer och etisk plattform</w:t>
      </w:r>
      <w:bookmarkEnd w:id="7"/>
    </w:p>
    <w:p w:rsidR="00F36827" w:rsidRPr="00F36827" w:rsidRDefault="00F36827" w:rsidP="00F36827">
      <w:pPr>
        <w:pStyle w:val="Brdtext"/>
      </w:pPr>
      <w:r>
        <w:t xml:space="preserve">Slutligen finns också </w:t>
      </w:r>
      <w:r w:rsidRPr="00F36827">
        <w:rPr>
          <w:b/>
        </w:rPr>
        <w:t>Riksdagens riktlinjer och den etiska plattformen</w:t>
      </w:r>
      <w:r w:rsidRPr="00F36827">
        <w:t xml:space="preserve"> </w:t>
      </w:r>
      <w:r>
        <w:t>att förhålla sig till.</w:t>
      </w:r>
    </w:p>
    <w:p w:rsidR="00782E73" w:rsidRPr="00782E73" w:rsidRDefault="00782E73" w:rsidP="00782E73">
      <w:pPr>
        <w:pStyle w:val="Brdtext"/>
        <w:rPr>
          <w:bCs/>
          <w:iCs/>
        </w:rPr>
      </w:pPr>
      <w:r>
        <w:rPr>
          <w:bCs/>
          <w:iCs/>
        </w:rPr>
        <w:t>Landstinget och kommunernas</w:t>
      </w:r>
      <w:r w:rsidRPr="00782E73">
        <w:rPr>
          <w:bCs/>
          <w:iCs/>
        </w:rPr>
        <w:t xml:space="preserve"> uppdrag utgår från hälso- och sjukvårdslagen</w:t>
      </w:r>
      <w:r w:rsidR="00A90430">
        <w:rPr>
          <w:bCs/>
          <w:iCs/>
        </w:rPr>
        <w:t>, HSL,</w:t>
      </w:r>
      <w:r w:rsidRPr="00782E73">
        <w:rPr>
          <w:bCs/>
          <w:iCs/>
        </w:rPr>
        <w:t xml:space="preserve"> som an</w:t>
      </w:r>
      <w:r w:rsidR="008022F8">
        <w:rPr>
          <w:bCs/>
          <w:iCs/>
        </w:rPr>
        <w:t xml:space="preserve">ger att det övergripande målet </w:t>
      </w:r>
      <w:r w:rsidRPr="00782E73">
        <w:rPr>
          <w:bCs/>
          <w:iCs/>
        </w:rPr>
        <w:t xml:space="preserve">för hälso- och sjukvården är en god hälsa och en vård på lika villkor för hela befolkningen (2 §). </w:t>
      </w:r>
      <w:r>
        <w:rPr>
          <w:bCs/>
          <w:iCs/>
        </w:rPr>
        <w:t>Landstinget och kommunerna</w:t>
      </w:r>
      <w:r w:rsidRPr="00782E73">
        <w:rPr>
          <w:bCs/>
          <w:iCs/>
        </w:rPr>
        <w:t xml:space="preserve"> ska erbjuda en god hälso- och sjukvård åt dem som är bosatta inom </w:t>
      </w:r>
      <w:r>
        <w:rPr>
          <w:bCs/>
          <w:iCs/>
        </w:rPr>
        <w:t>länet</w:t>
      </w:r>
      <w:r w:rsidRPr="00782E73">
        <w:rPr>
          <w:bCs/>
          <w:iCs/>
        </w:rPr>
        <w:t xml:space="preserve"> och även i övrigt verka för god hälsa i hela befolkningen (3 §). </w:t>
      </w:r>
      <w:r w:rsidR="004455EE">
        <w:rPr>
          <w:bCs/>
          <w:iCs/>
        </w:rPr>
        <w:t xml:space="preserve">Kommunerna styrs också av Socialtjänstlagen och Lagen om stöd och service. </w:t>
      </w:r>
    </w:p>
    <w:p w:rsidR="00782E73" w:rsidRPr="00782E73" w:rsidRDefault="00782E73" w:rsidP="00A90430">
      <w:pPr>
        <w:pStyle w:val="Brdtext"/>
        <w:spacing w:after="0"/>
        <w:rPr>
          <w:bCs/>
          <w:iCs/>
        </w:rPr>
      </w:pPr>
      <w:r w:rsidRPr="00A90430">
        <w:rPr>
          <w:bCs/>
          <w:iCs/>
        </w:rPr>
        <w:t>Prioriteringar (ursprung i betänkandena ”Vårdens svåra val” och ”Prioriteringar inom hälso- och</w:t>
      </w:r>
      <w:r w:rsidRPr="00782E73">
        <w:rPr>
          <w:bCs/>
          <w:iCs/>
        </w:rPr>
        <w:t xml:space="preserve"> sjukvården”) ska bygga på en etisk plattform bestående av:</w:t>
      </w:r>
    </w:p>
    <w:p w:rsidR="00782E73" w:rsidRPr="00782E73" w:rsidRDefault="00782E73" w:rsidP="009164D8">
      <w:pPr>
        <w:pStyle w:val="Brdtext"/>
        <w:numPr>
          <w:ilvl w:val="0"/>
          <w:numId w:val="18"/>
        </w:numPr>
        <w:spacing w:before="120"/>
        <w:ind w:left="357" w:hanging="357"/>
        <w:rPr>
          <w:bCs/>
          <w:iCs/>
        </w:rPr>
      </w:pPr>
      <w:r w:rsidRPr="00782E73">
        <w:rPr>
          <w:bCs/>
          <w:i/>
          <w:iCs/>
        </w:rPr>
        <w:t>Människovärdesprincipen</w:t>
      </w:r>
      <w:r w:rsidRPr="00782E73">
        <w:rPr>
          <w:bCs/>
          <w:iCs/>
        </w:rPr>
        <w:t xml:space="preserve"> - alla människor har lika värde och samma rätt oberoende av</w:t>
      </w:r>
      <w:r>
        <w:rPr>
          <w:bCs/>
          <w:iCs/>
        </w:rPr>
        <w:t xml:space="preserve"> </w:t>
      </w:r>
      <w:r w:rsidRPr="00782E73">
        <w:rPr>
          <w:bCs/>
          <w:iCs/>
        </w:rPr>
        <w:t>personliga egenskaper och funktion i samhället.</w:t>
      </w:r>
    </w:p>
    <w:p w:rsidR="00782E73" w:rsidRPr="00782E73" w:rsidRDefault="00782E73" w:rsidP="00A90430">
      <w:pPr>
        <w:pStyle w:val="Brdtext"/>
        <w:numPr>
          <w:ilvl w:val="0"/>
          <w:numId w:val="18"/>
        </w:numPr>
        <w:rPr>
          <w:bCs/>
          <w:iCs/>
        </w:rPr>
      </w:pPr>
      <w:r w:rsidRPr="00782E73">
        <w:rPr>
          <w:bCs/>
          <w:i/>
          <w:iCs/>
        </w:rPr>
        <w:t>Behovs- och solidaritetsprincipen</w:t>
      </w:r>
      <w:r w:rsidRPr="00782E73">
        <w:rPr>
          <w:bCs/>
          <w:iCs/>
        </w:rPr>
        <w:t xml:space="preserve"> – resurserna ska fördelas efter behov, vilket innebär att människor med de svåraste sjukdomarna och sämsta livskvaliteten ska prioriteras.</w:t>
      </w:r>
    </w:p>
    <w:p w:rsidR="00782E73" w:rsidRPr="00782E73" w:rsidRDefault="00782E73" w:rsidP="00A90430">
      <w:pPr>
        <w:pStyle w:val="Brdtext"/>
        <w:numPr>
          <w:ilvl w:val="0"/>
          <w:numId w:val="18"/>
        </w:numPr>
        <w:rPr>
          <w:bCs/>
          <w:iCs/>
        </w:rPr>
      </w:pPr>
      <w:r w:rsidRPr="00782E73">
        <w:rPr>
          <w:bCs/>
          <w:i/>
          <w:iCs/>
        </w:rPr>
        <w:t>Kostnadseffektivitetsprincipen</w:t>
      </w:r>
      <w:r w:rsidRPr="00782E73">
        <w:rPr>
          <w:bCs/>
          <w:iCs/>
        </w:rPr>
        <w:t xml:space="preserve"> - vid val av verksamhetsområden eller åtgärder bör en rimlig relation mellan kostnader och effekt, mätt i förbättrad hälsa och hö</w:t>
      </w:r>
      <w:r>
        <w:rPr>
          <w:bCs/>
          <w:iCs/>
        </w:rPr>
        <w:t xml:space="preserve">jd livskvalitet, eftersträvas. </w:t>
      </w:r>
      <w:r w:rsidRPr="00782E73">
        <w:rPr>
          <w:bCs/>
          <w:iCs/>
        </w:rPr>
        <w:t>Principen är underordnad de två andra principerna.</w:t>
      </w:r>
    </w:p>
    <w:p w:rsidR="00F40518" w:rsidRDefault="00A90430" w:rsidP="002764DD">
      <w:pPr>
        <w:pStyle w:val="Brdtext"/>
        <w:spacing w:after="120"/>
        <w:rPr>
          <w:bCs/>
          <w:iCs/>
        </w:rPr>
      </w:pPr>
      <w:r w:rsidRPr="00A90430">
        <w:rPr>
          <w:bCs/>
          <w:iCs/>
        </w:rPr>
        <w:t xml:space="preserve">Förutom den etiska plattformen finns ett flertal andra generella vägledande riktlinjer för prioriteringar i riksdagens beslut. Dessa är inte inskrivna i HSL, utan ska ses som en markering av staten vad huvudmännen ska beakta vid prioriteringar. </w:t>
      </w:r>
      <w:r>
        <w:rPr>
          <w:bCs/>
          <w:iCs/>
        </w:rPr>
        <w:t xml:space="preserve">Dit hör t ex </w:t>
      </w:r>
      <w:r w:rsidR="00F40518">
        <w:rPr>
          <w:bCs/>
          <w:iCs/>
        </w:rPr>
        <w:t xml:space="preserve">de fyra </w:t>
      </w:r>
      <w:r w:rsidR="00782E73" w:rsidRPr="00A90430">
        <w:rPr>
          <w:bCs/>
          <w:iCs/>
        </w:rPr>
        <w:t>prioriteringsgrupper</w:t>
      </w:r>
      <w:r>
        <w:rPr>
          <w:bCs/>
          <w:iCs/>
        </w:rPr>
        <w:t>na</w:t>
      </w:r>
    </w:p>
    <w:p w:rsidR="00F40518" w:rsidRDefault="00782E73" w:rsidP="002764DD">
      <w:pPr>
        <w:pStyle w:val="Brdtext"/>
        <w:spacing w:after="120"/>
        <w:ind w:left="426"/>
        <w:rPr>
          <w:bCs/>
          <w:iCs/>
        </w:rPr>
      </w:pPr>
      <w:r w:rsidRPr="00782E73">
        <w:rPr>
          <w:bCs/>
          <w:iCs/>
        </w:rPr>
        <w:t>1. Vård av livshotande sjukdomar, sjukdomar som utan behandling leder till varaktigt invalidiserande tillstånd eller för tidig död, vård av svåra kroniska sjukdomar, palliativ vård och vård i livets slutskede samt vård av människor med nedsatt autonomi.</w:t>
      </w:r>
    </w:p>
    <w:p w:rsidR="00782E73" w:rsidRPr="00782E73" w:rsidRDefault="00782E73" w:rsidP="002764DD">
      <w:pPr>
        <w:pStyle w:val="Brdtext"/>
        <w:spacing w:after="120"/>
        <w:ind w:left="1304" w:hanging="878"/>
        <w:rPr>
          <w:bCs/>
          <w:iCs/>
        </w:rPr>
      </w:pPr>
      <w:r w:rsidRPr="00782E73">
        <w:rPr>
          <w:bCs/>
          <w:iCs/>
        </w:rPr>
        <w:t>2. Prevention, habilitering och rehabilitering.</w:t>
      </w:r>
    </w:p>
    <w:p w:rsidR="00782E73" w:rsidRPr="00782E73" w:rsidRDefault="00782E73" w:rsidP="002764DD">
      <w:pPr>
        <w:pStyle w:val="Brdtext"/>
        <w:spacing w:after="120"/>
        <w:ind w:left="1304" w:hanging="878"/>
        <w:rPr>
          <w:bCs/>
          <w:iCs/>
        </w:rPr>
      </w:pPr>
      <w:r w:rsidRPr="00782E73">
        <w:rPr>
          <w:bCs/>
          <w:iCs/>
        </w:rPr>
        <w:t>3. Vård av mindre svåra akuta och kroniska sjukdomar.</w:t>
      </w:r>
    </w:p>
    <w:p w:rsidR="00782E73" w:rsidRDefault="00782E73" w:rsidP="002764DD">
      <w:pPr>
        <w:pStyle w:val="Brdtext"/>
        <w:spacing w:after="120"/>
        <w:ind w:left="1304" w:hanging="878"/>
        <w:rPr>
          <w:bCs/>
          <w:iCs/>
        </w:rPr>
      </w:pPr>
      <w:r w:rsidRPr="00782E73">
        <w:rPr>
          <w:bCs/>
          <w:iCs/>
        </w:rPr>
        <w:t>4. Vård av andra skäl än sjukdom och skada.</w:t>
      </w:r>
    </w:p>
    <w:p w:rsidR="004455EE" w:rsidRDefault="004455EE">
      <w:pPr>
        <w:rPr>
          <w:bCs/>
          <w:iCs/>
        </w:rPr>
      </w:pPr>
      <w:r>
        <w:rPr>
          <w:bCs/>
          <w:iCs/>
        </w:rPr>
        <w:br w:type="page"/>
      </w:r>
    </w:p>
    <w:p w:rsidR="00E7637E" w:rsidRDefault="00E7637E" w:rsidP="0003151C">
      <w:pPr>
        <w:pStyle w:val="Rubrik1"/>
      </w:pPr>
      <w:bookmarkStart w:id="8" w:name="_Toc354574524"/>
      <w:bookmarkStart w:id="9" w:name="_Toc433200259"/>
      <w:r>
        <w:lastRenderedPageBreak/>
        <w:t xml:space="preserve">mål för framtidens hälso- och sjukvård </w:t>
      </w:r>
      <w:r w:rsidR="002764DD">
        <w:t xml:space="preserve">i JÄmtlands län </w:t>
      </w:r>
      <w:r>
        <w:t>2025</w:t>
      </w:r>
      <w:bookmarkEnd w:id="8"/>
      <w:bookmarkEnd w:id="9"/>
    </w:p>
    <w:p w:rsidR="00E7637E" w:rsidRDefault="00406644" w:rsidP="00E7637E">
      <w:pPr>
        <w:pStyle w:val="Brdtext"/>
      </w:pPr>
      <w:r>
        <w:t xml:space="preserve">Visionen för Framtidens hälso- och sjukvård är densamma som för </w:t>
      </w:r>
      <w:r w:rsidR="00E7637E">
        <w:t>RUSen och folkhälso</w:t>
      </w:r>
      <w:r>
        <w:t>policyn</w:t>
      </w:r>
      <w:r w:rsidR="00E7637E">
        <w:t xml:space="preserve"> </w:t>
      </w:r>
    </w:p>
    <w:p w:rsidR="00E7637E" w:rsidRPr="00E7637E" w:rsidRDefault="00E96C76" w:rsidP="00E7637E">
      <w:pPr>
        <w:pStyle w:val="Brdtext"/>
        <w:pBdr>
          <w:top w:val="single" w:sz="4" w:space="1" w:color="auto"/>
          <w:left w:val="single" w:sz="4" w:space="4" w:color="auto"/>
          <w:bottom w:val="single" w:sz="4" w:space="1" w:color="auto"/>
          <w:right w:val="single" w:sz="4" w:space="4" w:color="auto"/>
        </w:pBdr>
        <w:rPr>
          <w:b/>
        </w:rPr>
      </w:pPr>
      <w:r>
        <w:rPr>
          <w:b/>
        </w:rPr>
        <w:t xml:space="preserve">VISION: </w:t>
      </w:r>
      <w:r w:rsidR="00E7637E" w:rsidRPr="00E7637E">
        <w:rPr>
          <w:b/>
        </w:rPr>
        <w:t xml:space="preserve">”Hälsa på lika villkor för hela befolkningen för en hållbar utveckling i Jämtlands län.” </w:t>
      </w:r>
    </w:p>
    <w:p w:rsidR="00A649B7" w:rsidRDefault="00A649B7" w:rsidP="00E71570">
      <w:pPr>
        <w:pStyle w:val="Brdtext"/>
      </w:pPr>
      <w:r>
        <w:t>Till skillnad mot tidigare Ny hälso- och sjukvårdspolitik från 2000 som utgick från organisationernas perspektiv sätter detta måldokument medborgarna och deras behov i fokus.</w:t>
      </w:r>
    </w:p>
    <w:p w:rsidR="0000638F" w:rsidRPr="004F011A" w:rsidRDefault="0000638F" w:rsidP="0000638F">
      <w:pPr>
        <w:pStyle w:val="Brdtext"/>
      </w:pPr>
      <w:r>
        <w:t>Patientens hela vårdkedja är viktig från det hälsofrämjande/förebyggande arbetet till vård, behandling omsorg och det avslutande rehabiliterande arbetet.  Särskilt r</w:t>
      </w:r>
      <w:r w:rsidRPr="004F011A">
        <w:t>ehab</w:t>
      </w:r>
      <w:r>
        <w:t>iliterings</w:t>
      </w:r>
      <w:r w:rsidRPr="004F011A">
        <w:t xml:space="preserve">arbetet kräver mycket samarbete och förändrade arbetssätt </w:t>
      </w:r>
      <w:r>
        <w:t xml:space="preserve">både för </w:t>
      </w:r>
      <w:r w:rsidRPr="004F011A">
        <w:t>landstinget</w:t>
      </w:r>
      <w:r>
        <w:t xml:space="preserve"> och</w:t>
      </w:r>
      <w:r w:rsidRPr="004F011A">
        <w:t xml:space="preserve"> kommunerna,</w:t>
      </w:r>
      <w:r>
        <w:t xml:space="preserve"> och är i</w:t>
      </w:r>
      <w:r w:rsidRPr="004F011A">
        <w:t xml:space="preserve"> stor utsträckning en gemensam fråga då </w:t>
      </w:r>
      <w:r>
        <w:t xml:space="preserve">mycket av rehabiliteringen </w:t>
      </w:r>
      <w:r w:rsidRPr="004F011A">
        <w:t>sker i hemmet.</w:t>
      </w:r>
    </w:p>
    <w:p w:rsidR="0000638F" w:rsidRDefault="0000638F" w:rsidP="0000638F">
      <w:pPr>
        <w:pStyle w:val="Brdtext"/>
      </w:pPr>
      <w:r>
        <w:t xml:space="preserve">Det </w:t>
      </w:r>
      <w:r w:rsidRPr="004F011A">
        <w:t>hälsofrämjande och sjukdomsf</w:t>
      </w:r>
      <w:r>
        <w:t>ö</w:t>
      </w:r>
      <w:r w:rsidRPr="004F011A">
        <w:t>rebyggande arbetet ingår i Folkhälsopolicy</w:t>
      </w:r>
      <w:r>
        <w:t>n</w:t>
      </w:r>
      <w:r w:rsidR="00566DD3">
        <w:t xml:space="preserve"> </w:t>
      </w:r>
      <w:r w:rsidRPr="004F011A">
        <w:t>men till det arbetet finns ingen koppling till gemensam handlingsplan vilket är viktigt för att nå målen inom ramen för ”framtidens hälso</w:t>
      </w:r>
      <w:r w:rsidR="00814395">
        <w:t>-</w:t>
      </w:r>
      <w:r w:rsidRPr="004F011A">
        <w:t xml:space="preserve"> och sjukvårds politik</w:t>
      </w:r>
      <w:r w:rsidR="009164D8">
        <w:t>”</w:t>
      </w:r>
      <w:r>
        <w:t>.</w:t>
      </w:r>
    </w:p>
    <w:p w:rsidR="004B516A" w:rsidRDefault="005660EF" w:rsidP="00E71570">
      <w:pPr>
        <w:pStyle w:val="Brdtext"/>
      </w:pPr>
      <w:r>
        <w:t>Utifrån kommundiskussionerna, seminariediskussionerna,</w:t>
      </w:r>
      <w:r w:rsidR="001037D3">
        <w:t xml:space="preserve"> RUSen och folkhälsopolicyn föreslås tre övergripande mål som fokuserar på de tre områden som anses mest viktiga att förbättra</w:t>
      </w:r>
      <w:r w:rsidR="001037D3" w:rsidRPr="00F01DE3">
        <w:rPr>
          <w:color w:val="000000" w:themeColor="text1"/>
        </w:rPr>
        <w:t xml:space="preserve">. Slutligen </w:t>
      </w:r>
      <w:r w:rsidR="00566DD3" w:rsidRPr="00F01DE3">
        <w:rPr>
          <w:color w:val="000000" w:themeColor="text1"/>
        </w:rPr>
        <w:t xml:space="preserve">föreslås också en ny arena </w:t>
      </w:r>
      <w:r w:rsidR="001037D3" w:rsidRPr="00F01DE3">
        <w:rPr>
          <w:color w:val="000000" w:themeColor="text1"/>
        </w:rPr>
        <w:t>som ska förstärka kommunerna och landsting</w:t>
      </w:r>
      <w:r w:rsidR="00A36BC6" w:rsidRPr="00F01DE3">
        <w:rPr>
          <w:color w:val="000000" w:themeColor="text1"/>
        </w:rPr>
        <w:t>ets gemensamma utvecklingskraft och är</w:t>
      </w:r>
      <w:r w:rsidR="00A36BC6">
        <w:t xml:space="preserve"> en framgångsfaktor för att detta dokument ska ge effekt</w:t>
      </w:r>
      <w:r w:rsidR="004B516A">
        <w:t xml:space="preserve"> och skapa bestående förändring</w:t>
      </w:r>
      <w:r w:rsidR="009164D8">
        <w:t>.</w:t>
      </w:r>
    </w:p>
    <w:p w:rsidR="00E96C76" w:rsidRDefault="00E96C76" w:rsidP="00E96C76">
      <w:pPr>
        <w:pStyle w:val="Brdtext"/>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ÖVERGRIPANDE MÅL:</w:t>
      </w:r>
    </w:p>
    <w:p w:rsidR="00E96C76" w:rsidRPr="00E96C76" w:rsidRDefault="00363559" w:rsidP="00E96C76">
      <w:pPr>
        <w:pStyle w:val="Brdtext"/>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 xml:space="preserve">   </w:t>
      </w:r>
      <w:r w:rsidR="00E96C76" w:rsidRPr="00E96C76">
        <w:rPr>
          <w:b/>
          <w:color w:val="000000" w:themeColor="text1"/>
        </w:rPr>
        <w:t>Förbättra</w:t>
      </w:r>
      <w:r w:rsidR="00E96C76">
        <w:rPr>
          <w:b/>
          <w:color w:val="000000" w:themeColor="text1"/>
        </w:rPr>
        <w:t>d</w:t>
      </w:r>
      <w:r w:rsidR="00E96C76" w:rsidRPr="00E96C76">
        <w:rPr>
          <w:b/>
          <w:color w:val="000000" w:themeColor="text1"/>
        </w:rPr>
        <w:t xml:space="preserve"> psykisk hälsa</w:t>
      </w:r>
    </w:p>
    <w:p w:rsidR="00E96C76" w:rsidRPr="00E96C76" w:rsidRDefault="00363559" w:rsidP="00E96C76">
      <w:pPr>
        <w:pStyle w:val="Brdtext"/>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 xml:space="preserve">   </w:t>
      </w:r>
      <w:r w:rsidR="002764DD">
        <w:rPr>
          <w:b/>
          <w:color w:val="000000" w:themeColor="text1"/>
        </w:rPr>
        <w:t>Hälsofrämjande och trygghetsskapande</w:t>
      </w:r>
      <w:r w:rsidR="00E96C76" w:rsidRPr="00E96C76">
        <w:rPr>
          <w:b/>
          <w:color w:val="000000" w:themeColor="text1"/>
        </w:rPr>
        <w:t xml:space="preserve"> levnadsvillkor</w:t>
      </w:r>
    </w:p>
    <w:p w:rsidR="00E96C76" w:rsidRDefault="00363559" w:rsidP="00E96C76">
      <w:pPr>
        <w:pStyle w:val="Brdtext"/>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 xml:space="preserve">   </w:t>
      </w:r>
      <w:r w:rsidR="00E96C76" w:rsidRPr="00E96C76">
        <w:rPr>
          <w:b/>
          <w:color w:val="000000" w:themeColor="text1"/>
        </w:rPr>
        <w:t>Tillgänglig och samordnad hälso- och sjukvård</w:t>
      </w:r>
    </w:p>
    <w:p w:rsidR="00775A39" w:rsidRDefault="00775A39" w:rsidP="00775A39">
      <w:pPr>
        <w:pStyle w:val="Brdtext"/>
        <w:pBdr>
          <w:left w:val="single" w:sz="4" w:space="4" w:color="auto"/>
          <w:bottom w:val="single" w:sz="4" w:space="1" w:color="auto"/>
          <w:right w:val="single" w:sz="4" w:space="4" w:color="auto"/>
        </w:pBdr>
        <w:rPr>
          <w:b/>
          <w:color w:val="000000" w:themeColor="text1"/>
        </w:rPr>
      </w:pPr>
      <w:r>
        <w:rPr>
          <w:b/>
          <w:color w:val="000000" w:themeColor="text1"/>
        </w:rPr>
        <w:t>VERKTYG FÖR ATT UPPNÅ DESSA MÅL:</w:t>
      </w:r>
    </w:p>
    <w:p w:rsidR="0003151C" w:rsidRPr="00E96C76" w:rsidRDefault="00814395" w:rsidP="00775A39">
      <w:pPr>
        <w:pStyle w:val="Brdtext"/>
        <w:pBdr>
          <w:left w:val="single" w:sz="4" w:space="4" w:color="auto"/>
          <w:bottom w:val="single" w:sz="4" w:space="1" w:color="auto"/>
          <w:right w:val="single" w:sz="4" w:space="4" w:color="auto"/>
        </w:pBdr>
        <w:rPr>
          <w:b/>
          <w:color w:val="000000" w:themeColor="text1"/>
        </w:rPr>
      </w:pPr>
      <w:r>
        <w:rPr>
          <w:b/>
          <w:color w:val="000000" w:themeColor="text1"/>
        </w:rPr>
        <w:t xml:space="preserve">   </w:t>
      </w:r>
      <w:r w:rsidR="0003151C" w:rsidRPr="0003151C">
        <w:rPr>
          <w:b/>
          <w:color w:val="000000" w:themeColor="text1"/>
        </w:rPr>
        <w:t>Skapa en arena för kommun</w:t>
      </w:r>
      <w:r>
        <w:rPr>
          <w:b/>
          <w:color w:val="000000" w:themeColor="text1"/>
        </w:rPr>
        <w:t xml:space="preserve">ernas </w:t>
      </w:r>
      <w:r w:rsidR="0003151C" w:rsidRPr="0003151C">
        <w:rPr>
          <w:b/>
          <w:color w:val="000000" w:themeColor="text1"/>
        </w:rPr>
        <w:t>och landsting</w:t>
      </w:r>
      <w:r>
        <w:rPr>
          <w:b/>
          <w:color w:val="000000" w:themeColor="text1"/>
        </w:rPr>
        <w:t xml:space="preserve">ets högsta </w:t>
      </w:r>
      <w:r w:rsidR="00566DD3">
        <w:rPr>
          <w:b/>
          <w:color w:val="000000" w:themeColor="text1"/>
        </w:rPr>
        <w:t xml:space="preserve">ledningar </w:t>
      </w:r>
      <w:r w:rsidR="0003151C" w:rsidRPr="0003151C">
        <w:rPr>
          <w:b/>
          <w:color w:val="000000" w:themeColor="text1"/>
        </w:rPr>
        <w:t>för utvecklingsfrågor kring  medborgarnas hälsa</w:t>
      </w:r>
    </w:p>
    <w:p w:rsidR="00A231B4" w:rsidRDefault="0000638F" w:rsidP="00E71570">
      <w:pPr>
        <w:pStyle w:val="Brdtext"/>
      </w:pPr>
      <w:r>
        <w:t xml:space="preserve">Självklart ska </w:t>
      </w:r>
      <w:r w:rsidRPr="00814395">
        <w:rPr>
          <w:u w:val="single"/>
        </w:rPr>
        <w:t>alla</w:t>
      </w:r>
      <w:r>
        <w:t xml:space="preserve"> ta del av gemensamt finansierad hälso- och sjukvård</w:t>
      </w:r>
      <w:r w:rsidR="009164D8">
        <w:t>,</w:t>
      </w:r>
      <w:r>
        <w:t xml:space="preserve"> men detta dokument har valt </w:t>
      </w:r>
      <w:r w:rsidR="009164D8">
        <w:t xml:space="preserve">att särskilt fokusera på </w:t>
      </w:r>
      <w:r>
        <w:t>några målgrupper</w:t>
      </w:r>
      <w:r w:rsidR="009164D8">
        <w:t>:</w:t>
      </w:r>
      <w:r>
        <w:t xml:space="preserve">  </w:t>
      </w:r>
    </w:p>
    <w:p w:rsidR="001F0ED2" w:rsidRDefault="00E96C76" w:rsidP="00566DD3">
      <w:pPr>
        <w:pStyle w:val="Brdtext"/>
        <w:spacing w:after="0"/>
        <w:ind w:left="1230"/>
      </w:pPr>
      <w:r>
        <w:t xml:space="preserve">Målgrupperna är </w:t>
      </w:r>
      <w:r w:rsidR="00A649B7">
        <w:t>ålder</w:t>
      </w:r>
      <w:r w:rsidR="00FC705E">
        <w:t>s</w:t>
      </w:r>
      <w:r w:rsidR="00566DD3">
        <w:t xml:space="preserve">relaterade. </w:t>
      </w:r>
      <w:r w:rsidR="00A649B7">
        <w:t xml:space="preserve">Barn, </w:t>
      </w:r>
      <w:r>
        <w:t>Unga och Äldre</w:t>
      </w:r>
      <w:r w:rsidR="00A231B4">
        <w:br/>
      </w:r>
      <w:r w:rsidR="00A649B7">
        <w:t>M</w:t>
      </w:r>
      <w:r>
        <w:t>ålgrupper</w:t>
      </w:r>
      <w:r w:rsidR="00A231B4">
        <w:t>na</w:t>
      </w:r>
      <w:r>
        <w:t xml:space="preserve"> är behovsrelaterade oberoende av ålder: Personer med funktionsnedsättning, Anhöriga</w:t>
      </w:r>
      <w:r w:rsidR="00566DD3">
        <w:t xml:space="preserve">, </w:t>
      </w:r>
      <w:r w:rsidR="00A231B4">
        <w:t>Flyktingar</w:t>
      </w:r>
      <w:r w:rsidR="00566DD3">
        <w:t xml:space="preserve">, </w:t>
      </w:r>
      <w:r w:rsidR="00BA5B83">
        <w:t>Samer</w:t>
      </w:r>
      <w:r w:rsidR="00566DD3">
        <w:t xml:space="preserve">, </w:t>
      </w:r>
      <w:r w:rsidR="001F0ED2" w:rsidRPr="001F0ED2">
        <w:t>H</w:t>
      </w:r>
      <w:r w:rsidR="001F0ED2">
        <w:t>omo-</w:t>
      </w:r>
      <w:r w:rsidR="00FA6583">
        <w:t xml:space="preserve"> och</w:t>
      </w:r>
      <w:r w:rsidR="001F0ED2">
        <w:t xml:space="preserve"> </w:t>
      </w:r>
      <w:r w:rsidR="00FA6583">
        <w:t>bisexuella, trans- och queer-</w:t>
      </w:r>
      <w:r w:rsidR="001F0ED2">
        <w:t>personer</w:t>
      </w:r>
      <w:r w:rsidR="009164D8">
        <w:t>.</w:t>
      </w:r>
    </w:p>
    <w:p w:rsidR="001F0ED2" w:rsidRDefault="001F0ED2" w:rsidP="00A231B4">
      <w:pPr>
        <w:pStyle w:val="Brdtext"/>
        <w:spacing w:after="0"/>
        <w:ind w:left="5216"/>
      </w:pPr>
    </w:p>
    <w:p w:rsidR="00A231B4" w:rsidRDefault="001F0ED2" w:rsidP="001F0ED2">
      <w:pPr>
        <w:pStyle w:val="Brdtext"/>
        <w:spacing w:after="0"/>
      </w:pPr>
      <w:r>
        <w:t>Valet av målgrupper bygger på vilka grupper som har sämst hälsa och var de största utmaningarna och förbättringarna behöver göras.</w:t>
      </w:r>
      <w:r w:rsidR="00BA5B83">
        <w:t xml:space="preserve">     </w:t>
      </w:r>
      <w:r w:rsidR="00E96C76">
        <w:t xml:space="preserve"> </w:t>
      </w:r>
    </w:p>
    <w:p w:rsidR="001F0ED2" w:rsidRDefault="001F0ED2" w:rsidP="001F0ED2">
      <w:pPr>
        <w:pStyle w:val="Brdtext"/>
        <w:spacing w:after="0"/>
      </w:pPr>
    </w:p>
    <w:p w:rsidR="00A231B4" w:rsidRPr="006A03BB" w:rsidRDefault="00A231B4" w:rsidP="00A231B4">
      <w:pPr>
        <w:pStyle w:val="Brdtext"/>
      </w:pPr>
      <w:r>
        <w:t>Utmaningen är att uppnå dessa övergripande mål inom kommunernas och landstingets befintliga ekonomiska ramar. Då är det viktigt att gemensamt analysera hur kommuner och landsting tillsammans på kostnadseffektivaste sätt k</w:t>
      </w:r>
      <w:r w:rsidR="00CB0572">
        <w:t xml:space="preserve">an uppfylla medborgarnas behov. Gemensamma satsningar skulle kunna ske genom gemensamt </w:t>
      </w:r>
      <w:r w:rsidR="00E73C3D">
        <w:t>avsatta o</w:t>
      </w:r>
      <w:r w:rsidR="00CB0572">
        <w:t xml:space="preserve">ch </w:t>
      </w:r>
      <w:r w:rsidR="00E73C3D">
        <w:t>sökt</w:t>
      </w:r>
      <w:r w:rsidR="00CB0572">
        <w:t>a medel.</w:t>
      </w:r>
    </w:p>
    <w:p w:rsidR="00A93FD7" w:rsidRDefault="003502E6" w:rsidP="00F01DE3">
      <w:pPr>
        <w:pStyle w:val="Rubrik2"/>
      </w:pPr>
      <w:bookmarkStart w:id="10" w:name="_Toc354574525"/>
      <w:bookmarkStart w:id="11" w:name="_Toc433200260"/>
      <w:r>
        <w:lastRenderedPageBreak/>
        <w:t>Förbättrad psykisk hälsa</w:t>
      </w:r>
      <w:bookmarkEnd w:id="10"/>
      <w:bookmarkEnd w:id="11"/>
    </w:p>
    <w:p w:rsidR="004048E2" w:rsidRPr="004048E2" w:rsidRDefault="003502E6" w:rsidP="004048E2">
      <w:pPr>
        <w:pStyle w:val="Brdtext"/>
      </w:pPr>
      <w:r w:rsidRPr="00A93FD7">
        <w:rPr>
          <w:b/>
        </w:rPr>
        <w:t>Målgrupp</w:t>
      </w:r>
      <w:r w:rsidR="00A649B7">
        <w:rPr>
          <w:b/>
        </w:rPr>
        <w:t>er</w:t>
      </w:r>
      <w:r w:rsidRPr="00A93FD7">
        <w:rPr>
          <w:b/>
        </w:rPr>
        <w:t>:</w:t>
      </w:r>
      <w:r w:rsidRPr="00A93FD7">
        <w:t xml:space="preserve"> </w:t>
      </w:r>
      <w:r w:rsidR="00A649B7">
        <w:t xml:space="preserve">Barn, </w:t>
      </w:r>
      <w:r w:rsidR="00962617">
        <w:t>Unga</w:t>
      </w:r>
      <w:r w:rsidR="004048E2">
        <w:t xml:space="preserve">, </w:t>
      </w:r>
      <w:r w:rsidR="000E68C0">
        <w:t xml:space="preserve">Äldre, </w:t>
      </w:r>
      <w:r w:rsidR="004048E2" w:rsidRPr="004048E2">
        <w:t>Per</w:t>
      </w:r>
      <w:r w:rsidR="001F0ED2">
        <w:t xml:space="preserve">soner med funktionsnedsättning, </w:t>
      </w:r>
      <w:r w:rsidR="00A649B7">
        <w:t>Flyktingar</w:t>
      </w:r>
      <w:r w:rsidR="001012D7">
        <w:t xml:space="preserve">, </w:t>
      </w:r>
      <w:r w:rsidR="00960762">
        <w:t>Samer</w:t>
      </w:r>
      <w:r w:rsidR="00FA6583">
        <w:t xml:space="preserve">, </w:t>
      </w:r>
      <w:r w:rsidR="001F0ED2" w:rsidRPr="001F0ED2">
        <w:t>Homo-</w:t>
      </w:r>
      <w:r w:rsidR="00FA6583">
        <w:t xml:space="preserve"> och</w:t>
      </w:r>
      <w:r w:rsidR="001F0ED2" w:rsidRPr="001F0ED2">
        <w:t xml:space="preserve"> </w:t>
      </w:r>
      <w:r w:rsidR="00A236E8" w:rsidRPr="001F0ED2">
        <w:t>bisexuella</w:t>
      </w:r>
      <w:r w:rsidR="001F0ED2" w:rsidRPr="001F0ED2">
        <w:t>, trans- och queer-personer</w:t>
      </w:r>
      <w:r w:rsidR="001F0ED2">
        <w:t xml:space="preserve"> (HBTQ)</w:t>
      </w:r>
    </w:p>
    <w:p w:rsidR="003502E6" w:rsidRDefault="003502E6" w:rsidP="00B77B9E">
      <w:pPr>
        <w:pStyle w:val="Brdtext"/>
      </w:pPr>
      <w:r w:rsidRPr="003502E6">
        <w:rPr>
          <w:b/>
        </w:rPr>
        <w:t>Nuläge:</w:t>
      </w:r>
      <w:r>
        <w:t xml:space="preserve"> Enligt Hälsa på lika villkor 2010</w:t>
      </w:r>
      <w:r w:rsidR="004048E2">
        <w:t xml:space="preserve"> kan konstateras att l</w:t>
      </w:r>
      <w:r>
        <w:t xml:space="preserve">änets </w:t>
      </w:r>
      <w:r w:rsidR="00B77B9E">
        <w:t xml:space="preserve">unga </w:t>
      </w:r>
      <w:r>
        <w:t>kvinnor</w:t>
      </w:r>
      <w:r w:rsidR="00B77B9E">
        <w:t xml:space="preserve"> uppger nedsatt psykiskt hälsa i högre grad än unga män och vuxna. Personer med funktionsnedsättning</w:t>
      </w:r>
      <w:r w:rsidR="000E68C0">
        <w:t>, flyktingar</w:t>
      </w:r>
      <w:r w:rsidR="001F0ED2">
        <w:t>,</w:t>
      </w:r>
      <w:r w:rsidR="000E68C0">
        <w:t xml:space="preserve"> samer</w:t>
      </w:r>
      <w:r w:rsidR="00B77B9E">
        <w:t xml:space="preserve"> </w:t>
      </w:r>
      <w:r w:rsidR="001F0ED2">
        <w:t xml:space="preserve">och HBTQ-personer </w:t>
      </w:r>
      <w:r w:rsidR="00B77B9E">
        <w:t xml:space="preserve">uppger också nedsatt psykisk hälsa i högre grad än den övriga befolkningen. </w:t>
      </w:r>
    </w:p>
    <w:p w:rsidR="000D659C" w:rsidRDefault="00B77B9E" w:rsidP="000D659C">
      <w:pPr>
        <w:pStyle w:val="Brdtext"/>
        <w:rPr>
          <w:bCs/>
        </w:rPr>
      </w:pPr>
      <w:r>
        <w:rPr>
          <w:bCs/>
        </w:rPr>
        <w:t>S</w:t>
      </w:r>
      <w:r w:rsidR="000D659C" w:rsidRPr="000D659C">
        <w:rPr>
          <w:bCs/>
        </w:rPr>
        <w:t>jälvmordstalen i Jämtland/ Härjedalen under perioden 1997-2011</w:t>
      </w:r>
      <w:r w:rsidR="00FC705E">
        <w:rPr>
          <w:bCs/>
        </w:rPr>
        <w:t xml:space="preserve"> har</w:t>
      </w:r>
      <w:r w:rsidR="000D659C" w:rsidRPr="000D659C">
        <w:rPr>
          <w:bCs/>
        </w:rPr>
        <w:t xml:space="preserve"> varit högre i Jämtland än riket i övrigt, det gäller framför allt hos män</w:t>
      </w:r>
      <w:r w:rsidR="00B47491">
        <w:rPr>
          <w:bCs/>
        </w:rPr>
        <w:t>, men också kvinnor har höga tal</w:t>
      </w:r>
      <w:r w:rsidR="00FA6583">
        <w:rPr>
          <w:bCs/>
        </w:rPr>
        <w:t>. Under den senaste 15</w:t>
      </w:r>
      <w:r w:rsidR="00A236E8">
        <w:rPr>
          <w:bCs/>
        </w:rPr>
        <w:t>års</w:t>
      </w:r>
      <w:r w:rsidR="00FA6583">
        <w:rPr>
          <w:bCs/>
        </w:rPr>
        <w:t xml:space="preserve"> </w:t>
      </w:r>
      <w:r w:rsidR="000D659C" w:rsidRPr="000D659C">
        <w:rPr>
          <w:bCs/>
        </w:rPr>
        <w:t xml:space="preserve">perioden har det inte skett någon särskilt ökande eller minskade trend i självmordstalen. Det finns ingen enkel förklaring till </w:t>
      </w:r>
      <w:r>
        <w:rPr>
          <w:bCs/>
        </w:rPr>
        <w:t>länets</w:t>
      </w:r>
      <w:r w:rsidR="000D659C" w:rsidRPr="000D659C">
        <w:rPr>
          <w:bCs/>
        </w:rPr>
        <w:t xml:space="preserve"> höga självmordstal. Hög arbetslöshet, utflyttning, bristande framtidstro samt en kultur som underlättar självmord har föreslagits som förklaringar. Det finns dock andra län med liknande strukturella problem som har betydligt lägre självmordstal. </w:t>
      </w:r>
    </w:p>
    <w:p w:rsidR="00F01DE3" w:rsidRDefault="000D659C" w:rsidP="003502E6">
      <w:pPr>
        <w:pStyle w:val="Brdtext"/>
        <w:rPr>
          <w:b/>
        </w:rPr>
      </w:pPr>
      <w:r w:rsidRPr="000D659C">
        <w:rPr>
          <w:b/>
        </w:rPr>
        <w:t>Länssamverkan i aktuella former</w:t>
      </w:r>
      <w:r>
        <w:rPr>
          <w:b/>
        </w:rPr>
        <w:t>:</w:t>
      </w:r>
      <w:r>
        <w:t xml:space="preserve"> Samverkan som berör psykisk hälsa hanteras bl a i följande dokument:</w:t>
      </w:r>
      <w:r>
        <w:br/>
      </w:r>
      <w:r w:rsidR="00F32D7F">
        <w:t xml:space="preserve">- </w:t>
      </w:r>
      <w:r>
        <w:t xml:space="preserve">Överenskommelse mellan landstinget och länets kommuner </w:t>
      </w:r>
      <w:r w:rsidR="00F32D7F">
        <w:t>gällande personer psykiska funktionsnedsättningar</w:t>
      </w:r>
      <w:r w:rsidR="00F32D7F">
        <w:br/>
        <w:t xml:space="preserve">- </w:t>
      </w:r>
      <w:r w:rsidR="009F02EE">
        <w:t>JämtBus – Överenskommelse om regional samverkan kring b</w:t>
      </w:r>
      <w:r w:rsidR="009F02EE" w:rsidRPr="001012D7">
        <w:rPr>
          <w:bCs/>
        </w:rPr>
        <w:t>arn och unga i behov av särskilt stöd</w:t>
      </w:r>
      <w:r w:rsidR="009F02EE">
        <w:t xml:space="preserve"> </w:t>
      </w:r>
      <w:r w:rsidR="00F01DE3">
        <w:br/>
      </w:r>
      <w:r w:rsidR="00A468FB">
        <w:t>-</w:t>
      </w:r>
      <w:r w:rsidR="00F32D7F">
        <w:t>Bättre liv för sjuka äldre – strategi och handlingsplan</w:t>
      </w:r>
      <w:r w:rsidR="00E73C3D">
        <w:rPr>
          <w:bCs/>
        </w:rPr>
        <w:br/>
        <w:t xml:space="preserve">- PSYNK- </w:t>
      </w:r>
      <w:r w:rsidR="00E73C3D" w:rsidRPr="00E73C3D">
        <w:rPr>
          <w:bCs/>
        </w:rPr>
        <w:t>psykisk hälsa barn och unga</w:t>
      </w:r>
      <w:r w:rsidR="00E73C3D" w:rsidRPr="00E73C3D">
        <w:rPr>
          <w:bCs/>
        </w:rPr>
        <w:br/>
      </w:r>
      <w:r w:rsidR="00E73C3D">
        <w:rPr>
          <w:bCs/>
        </w:rPr>
        <w:t>- Myndighetssamverkan för suicidprevention</w:t>
      </w:r>
    </w:p>
    <w:p w:rsidR="000E68C0" w:rsidRDefault="00F32D7F" w:rsidP="003502E6">
      <w:pPr>
        <w:pStyle w:val="Brdtext"/>
      </w:pPr>
      <w:r>
        <w:rPr>
          <w:b/>
        </w:rPr>
        <w:t>Länssamverkan i framtiden:</w:t>
      </w:r>
      <w:r w:rsidR="00B77B9E">
        <w:rPr>
          <w:b/>
        </w:rPr>
        <w:t xml:space="preserve"> </w:t>
      </w:r>
      <w:r w:rsidRPr="00F32D7F">
        <w:t>Under</w:t>
      </w:r>
      <w:r>
        <w:t xml:space="preserve"> arbetet med Framtidens hälso- och sjukvård har skolans roll återkommit i många sammanhang. Skolan är viktig både för att ge barn och un</w:t>
      </w:r>
      <w:r w:rsidR="00EC0A2E">
        <w:t>gdomar trygghet under skoltiden. Det finns ökat behov av att samarbeta angående barn och ungas sociala situation för att förbättra den psykiska hälsan. Skolan</w:t>
      </w:r>
      <w:r w:rsidR="00B73653">
        <w:t>s</w:t>
      </w:r>
      <w:r w:rsidR="00EC0A2E">
        <w:t xml:space="preserve"> roll för att </w:t>
      </w:r>
      <w:r>
        <w:t>ge kunskap som leder till</w:t>
      </w:r>
      <w:r w:rsidR="005017E4">
        <w:t xml:space="preserve"> </w:t>
      </w:r>
      <w:r w:rsidR="005017E4" w:rsidRPr="005017E4">
        <w:t>behörig</w:t>
      </w:r>
      <w:r w:rsidR="005017E4">
        <w:t>het att gå vidare</w:t>
      </w:r>
      <w:r w:rsidR="005017E4" w:rsidRPr="005017E4">
        <w:t xml:space="preserve"> till gymnasieutbildning</w:t>
      </w:r>
      <w:r w:rsidR="00EC0A2E">
        <w:t xml:space="preserve"> är viktig både för ungdomars psykiska hälsa och för möjligheten till arbete</w:t>
      </w:r>
      <w:r w:rsidR="005017E4">
        <w:t xml:space="preserve">. </w:t>
      </w:r>
      <w:r w:rsidR="000A5292">
        <w:t>Strukturera stödet till föräldrarna så att det sträcker sig långt upp i åldrarna. Samers psykiska hälsa behöver beaktas</w:t>
      </w:r>
      <w:r w:rsidR="000E68C0">
        <w:t>.</w:t>
      </w:r>
      <w:r w:rsidR="00960762">
        <w:t xml:space="preserve"> </w:t>
      </w:r>
      <w:r w:rsidR="003337F4">
        <w:t xml:space="preserve">Gemensamma insatser för att öka personalens </w:t>
      </w:r>
      <w:r w:rsidR="003337F4" w:rsidRPr="003337F4">
        <w:t>kunskap för att upptäcka barn</w:t>
      </w:r>
      <w:r w:rsidR="001F0ED2">
        <w:t xml:space="preserve"> med otrygga, in</w:t>
      </w:r>
      <w:r w:rsidR="003337F4">
        <w:t>humana</w:t>
      </w:r>
      <w:r w:rsidR="00B73653">
        <w:t xml:space="preserve"> och</w:t>
      </w:r>
      <w:r w:rsidR="003337F4">
        <w:t xml:space="preserve"> onaturliga situ</w:t>
      </w:r>
      <w:r w:rsidR="003337F4" w:rsidRPr="003337F4">
        <w:t>ationer</w:t>
      </w:r>
      <w:r w:rsidR="00B73653">
        <w:t>.</w:t>
      </w:r>
    </w:p>
    <w:p w:rsidR="000E68C0" w:rsidRPr="00F01DE3" w:rsidRDefault="000E68C0" w:rsidP="000E68C0">
      <w:pPr>
        <w:pStyle w:val="Brdtext"/>
        <w:rPr>
          <w:color w:val="000000" w:themeColor="text1"/>
        </w:rPr>
      </w:pPr>
      <w:r w:rsidRPr="000E68C0">
        <w:t>IT utvecklingen för behandling och förebyggande för psykisk hälsa</w:t>
      </w:r>
      <w:r>
        <w:t xml:space="preserve"> är ett viktigt område att utveckla i ett län som Jämtland med långa avstånd </w:t>
      </w:r>
      <w:r w:rsidR="00B73653">
        <w:t xml:space="preserve">och </w:t>
      </w:r>
      <w:r>
        <w:t>där tekniken kan överbrygga distans</w:t>
      </w:r>
      <w:r w:rsidRPr="00F01DE3">
        <w:rPr>
          <w:color w:val="000000" w:themeColor="text1"/>
        </w:rPr>
        <w:t xml:space="preserve">. Ett närliggande område är den snabba utvecklingen av </w:t>
      </w:r>
      <w:r w:rsidR="00FA6583" w:rsidRPr="00F01DE3">
        <w:rPr>
          <w:color w:val="000000" w:themeColor="text1"/>
        </w:rPr>
        <w:t xml:space="preserve">tekniska hjälpmedel inte minst de som utvecklas för användning </w:t>
      </w:r>
      <w:r w:rsidRPr="00F01DE3">
        <w:rPr>
          <w:color w:val="000000" w:themeColor="text1"/>
        </w:rPr>
        <w:t xml:space="preserve">via </w:t>
      </w:r>
      <w:r w:rsidR="00FA6583" w:rsidRPr="00F01DE3">
        <w:rPr>
          <w:color w:val="000000" w:themeColor="text1"/>
        </w:rPr>
        <w:t>dator, mobiltelefoner och</w:t>
      </w:r>
      <w:r w:rsidRPr="00F01DE3">
        <w:rPr>
          <w:color w:val="000000" w:themeColor="text1"/>
        </w:rPr>
        <w:t xml:space="preserve"> </w:t>
      </w:r>
      <w:r w:rsidR="00FA6583" w:rsidRPr="00F01DE3">
        <w:rPr>
          <w:color w:val="000000" w:themeColor="text1"/>
        </w:rPr>
        <w:t>surfplattor</w:t>
      </w:r>
      <w:r w:rsidRPr="00F01DE3">
        <w:rPr>
          <w:color w:val="000000" w:themeColor="text1"/>
        </w:rPr>
        <w:t>.</w:t>
      </w:r>
    </w:p>
    <w:p w:rsidR="00F32D7F" w:rsidRDefault="00F32D7F" w:rsidP="003502E6">
      <w:pPr>
        <w:pStyle w:val="Brdtext"/>
        <w:rPr>
          <w:bCs/>
        </w:rPr>
      </w:pPr>
      <w:r w:rsidRPr="00F32D7F">
        <w:rPr>
          <w:b/>
        </w:rPr>
        <w:t>Indikatorer</w:t>
      </w:r>
      <w:r>
        <w:rPr>
          <w:b/>
        </w:rPr>
        <w:t xml:space="preserve"> som kan användas för att följa upp målet</w:t>
      </w:r>
      <w:r w:rsidR="00B77B9E">
        <w:rPr>
          <w:b/>
        </w:rPr>
        <w:br/>
      </w:r>
      <w:r>
        <w:t xml:space="preserve">Indikatorer om nedsatt psykisk hälsa </w:t>
      </w:r>
      <w:r w:rsidR="004048E2">
        <w:t xml:space="preserve">för målgrupperna </w:t>
      </w:r>
      <w:r>
        <w:t xml:space="preserve">ur </w:t>
      </w:r>
      <w:r w:rsidRPr="00F32D7F">
        <w:rPr>
          <w:bCs/>
        </w:rPr>
        <w:t xml:space="preserve">Befolkningsenkäten "Hälsa på lika villkor" </w:t>
      </w:r>
      <w:r>
        <w:rPr>
          <w:bCs/>
        </w:rPr>
        <w:br/>
        <w:t xml:space="preserve">Hälsosamtalen i skolan </w:t>
      </w:r>
      <w:r w:rsidR="004048E2">
        <w:rPr>
          <w:bCs/>
        </w:rPr>
        <w:t>åk 4, åk 7, gymn</w:t>
      </w:r>
      <w:r w:rsidR="00FA6583">
        <w:rPr>
          <w:bCs/>
        </w:rPr>
        <w:t>asiet</w:t>
      </w:r>
      <w:r w:rsidR="004048E2">
        <w:rPr>
          <w:bCs/>
        </w:rPr>
        <w:t xml:space="preserve"> åk 1</w:t>
      </w:r>
      <w:r w:rsidR="004048E2">
        <w:rPr>
          <w:bCs/>
        </w:rPr>
        <w:br/>
        <w:t>Andel elever som har behörighet till gymnasium efter åk 9</w:t>
      </w:r>
      <w:r w:rsidR="00B77B9E">
        <w:rPr>
          <w:bCs/>
        </w:rPr>
        <w:br/>
        <w:t>Självmordsstatistiken</w:t>
      </w:r>
      <w:r w:rsidR="000E68C0">
        <w:rPr>
          <w:bCs/>
        </w:rPr>
        <w:br/>
        <w:t>L</w:t>
      </w:r>
      <w:r w:rsidR="000E68C0" w:rsidRPr="000E68C0">
        <w:rPr>
          <w:bCs/>
        </w:rPr>
        <w:t>äkemedelsanvändning tex antidepressiva och sömnmedel</w:t>
      </w:r>
      <w:r w:rsidR="00B73653">
        <w:rPr>
          <w:bCs/>
        </w:rPr>
        <w:t>.</w:t>
      </w:r>
      <w:r w:rsidR="000E68C0" w:rsidRPr="000E68C0">
        <w:rPr>
          <w:bCs/>
        </w:rPr>
        <w:t xml:space="preserve"> </w:t>
      </w:r>
      <w:r w:rsidR="00B47491">
        <w:rPr>
          <w:bCs/>
        </w:rPr>
        <w:br/>
        <w:t>Sjukskrivningsdagar</w:t>
      </w:r>
    </w:p>
    <w:p w:rsidR="003502E6" w:rsidRDefault="00E73C3D" w:rsidP="00F01DE3">
      <w:pPr>
        <w:pStyle w:val="Rubrik2"/>
      </w:pPr>
      <w:bookmarkStart w:id="12" w:name="_Toc354574526"/>
      <w:bookmarkStart w:id="13" w:name="_Toc433200261"/>
      <w:r>
        <w:t>Hälsofrämjande och t</w:t>
      </w:r>
      <w:r w:rsidR="003502E6">
        <w:t>rygg</w:t>
      </w:r>
      <w:r>
        <w:t xml:space="preserve">hetsskapande </w:t>
      </w:r>
      <w:r w:rsidR="003502E6">
        <w:t>levnadsvillkor</w:t>
      </w:r>
      <w:bookmarkEnd w:id="12"/>
      <w:bookmarkEnd w:id="13"/>
    </w:p>
    <w:p w:rsidR="00962617" w:rsidRDefault="004048E2" w:rsidP="004048E2">
      <w:pPr>
        <w:pStyle w:val="Brdtext"/>
      </w:pPr>
      <w:r w:rsidRPr="00A93FD7">
        <w:rPr>
          <w:b/>
        </w:rPr>
        <w:t>Målgrupp:</w:t>
      </w:r>
      <w:r w:rsidRPr="00A93FD7">
        <w:t xml:space="preserve"> </w:t>
      </w:r>
      <w:r w:rsidR="00AB5B09">
        <w:t>B</w:t>
      </w:r>
      <w:r w:rsidR="00962617">
        <w:t>arn</w:t>
      </w:r>
      <w:r w:rsidR="00E73C3D">
        <w:t xml:space="preserve">, </w:t>
      </w:r>
      <w:r w:rsidR="00962617">
        <w:t>unga och äldre</w:t>
      </w:r>
    </w:p>
    <w:p w:rsidR="003502E6" w:rsidRDefault="004048E2" w:rsidP="00960E4F">
      <w:pPr>
        <w:pStyle w:val="Brdtext"/>
      </w:pPr>
      <w:r w:rsidRPr="003502E6">
        <w:rPr>
          <w:b/>
        </w:rPr>
        <w:t>Nuläge:</w:t>
      </w:r>
      <w:r>
        <w:t xml:space="preserve"> </w:t>
      </w:r>
      <w:r w:rsidR="00962617">
        <w:t xml:space="preserve">Resultaten från 2012 års CAN-enkät (Centralförbundet för alkohol- och narkotikaupplysning) </w:t>
      </w:r>
      <w:r w:rsidR="00960E4F">
        <w:t>visar på</w:t>
      </w:r>
      <w:r w:rsidR="00962617">
        <w:t xml:space="preserve"> behov av ett gemensamt drogförebyggande arbete </w:t>
      </w:r>
      <w:r w:rsidR="00AB5B09">
        <w:t xml:space="preserve">för barn och unga </w:t>
      </w:r>
      <w:r w:rsidR="00962617">
        <w:t>inom följande områden:</w:t>
      </w:r>
      <w:r w:rsidR="00960E4F">
        <w:br/>
        <w:t xml:space="preserve">- </w:t>
      </w:r>
      <w:r w:rsidR="00962617">
        <w:t> tillräckliga resurser och stöd till de elever som vill sluta med tobak</w:t>
      </w:r>
      <w:r w:rsidR="00960E4F">
        <w:br/>
      </w:r>
      <w:r w:rsidR="00960E4F">
        <w:lastRenderedPageBreak/>
        <w:t xml:space="preserve">- </w:t>
      </w:r>
      <w:r w:rsidR="00962617">
        <w:t> uppskjuten debutålder samt minskad tillgänglighet</w:t>
      </w:r>
      <w:r w:rsidR="00960E4F">
        <w:br/>
      </w:r>
      <w:r w:rsidR="00962617">
        <w:t></w:t>
      </w:r>
      <w:r w:rsidR="00960E4F">
        <w:t xml:space="preserve">- </w:t>
      </w:r>
      <w:r w:rsidR="00962617">
        <w:t xml:space="preserve"> ökad kunskap hos eleverna</w:t>
      </w:r>
      <w:r w:rsidR="00960E4F">
        <w:br/>
        <w:t xml:space="preserve">- </w:t>
      </w:r>
      <w:r w:rsidR="00962617">
        <w:t> attityder till droger</w:t>
      </w:r>
      <w:r w:rsidR="00960E4F">
        <w:br/>
        <w:t xml:space="preserve">- </w:t>
      </w:r>
      <w:r w:rsidR="00962617">
        <w:t> information om risker och samband mellan droger till föräldrar/vårdnadshavare</w:t>
      </w:r>
      <w:r w:rsidR="00B73653">
        <w:t>.</w:t>
      </w:r>
    </w:p>
    <w:p w:rsidR="00E73C3D" w:rsidRDefault="00962617" w:rsidP="003B6526">
      <w:pPr>
        <w:pStyle w:val="Brdtext"/>
        <w:spacing w:after="0"/>
      </w:pPr>
      <w:r>
        <w:t xml:space="preserve">I öppna jämförelser </w:t>
      </w:r>
      <w:r w:rsidR="00AE141D">
        <w:t xml:space="preserve">för vård och omsorg av äldre </w:t>
      </w:r>
      <w:r>
        <w:t xml:space="preserve">finns mått på trygghet för äldre i </w:t>
      </w:r>
      <w:r w:rsidR="00AE141D">
        <w:t xml:space="preserve">hemtjänst och särskilt boende. </w:t>
      </w:r>
      <w:r w:rsidR="00FA6583">
        <w:t>På nationell nivå</w:t>
      </w:r>
      <w:r w:rsidR="00AE141D">
        <w:t xml:space="preserve"> är</w:t>
      </w:r>
      <w:r w:rsidR="00FA6583">
        <w:t xml:space="preserve"> siffrorna</w:t>
      </w:r>
      <w:r w:rsidR="00AE141D">
        <w:t xml:space="preserve"> 43 resp</w:t>
      </w:r>
      <w:r w:rsidR="00FA6583">
        <w:t>ektive</w:t>
      </w:r>
      <w:r w:rsidR="00AE141D">
        <w:t xml:space="preserve"> 49 %. Länets siffra är 49 och 48% men trots att länets äldre är lika trygga som snittet i landet visar siffran ändå att mer än hälften av länets äldre inte är trygga.</w:t>
      </w:r>
    </w:p>
    <w:p w:rsidR="00AB5B09" w:rsidRDefault="00AB5B09" w:rsidP="003B6526">
      <w:pPr>
        <w:pStyle w:val="Brdtext"/>
        <w:spacing w:after="0"/>
      </w:pPr>
      <w:r>
        <w:t>Inom ramen för satsningen på de mest sjuka äldre finns också indikatorer som visar behov av åtgärder för öka tryggheten för de äldre.</w:t>
      </w:r>
    </w:p>
    <w:p w:rsidR="00960E4F" w:rsidRDefault="00E73C3D" w:rsidP="003B6526">
      <w:pPr>
        <w:pStyle w:val="Brdtext"/>
        <w:spacing w:after="0"/>
        <w:rPr>
          <w:b/>
        </w:rPr>
      </w:pPr>
      <w:r>
        <w:t xml:space="preserve">Trygghet handlar också om vård av god medicinsk kvalitet. </w:t>
      </w:r>
      <w:r w:rsidR="003B6526">
        <w:br/>
      </w:r>
    </w:p>
    <w:p w:rsidR="00E73C3D" w:rsidRPr="00B77B9E" w:rsidRDefault="00B77B9E" w:rsidP="00B77B9E">
      <w:pPr>
        <w:pStyle w:val="Brdtext"/>
      </w:pPr>
      <w:r w:rsidRPr="00B77B9E">
        <w:rPr>
          <w:b/>
        </w:rPr>
        <w:t xml:space="preserve">Länssamverkan i aktuella former: </w:t>
      </w:r>
      <w:r w:rsidRPr="00B77B9E">
        <w:t xml:space="preserve">Samverkan </w:t>
      </w:r>
      <w:r w:rsidR="00D1550C">
        <w:t>inom detta område</w:t>
      </w:r>
      <w:r w:rsidRPr="00B77B9E">
        <w:t xml:space="preserve"> hanteras bl a i följande dokument:</w:t>
      </w:r>
      <w:r w:rsidRPr="00B77B9E">
        <w:br/>
        <w:t xml:space="preserve">- </w:t>
      </w:r>
      <w:r w:rsidR="00D1550C">
        <w:t>Arbetet med handlingsplaner till folkhälsopolicyn</w:t>
      </w:r>
      <w:r w:rsidRPr="00B77B9E">
        <w:br/>
        <w:t>- Bättre liv för sjuka äldre – strategi och handlingsplan</w:t>
      </w:r>
      <w:r w:rsidR="001012D7">
        <w:br/>
        <w:t xml:space="preserve">- </w:t>
      </w:r>
      <w:r w:rsidR="001012D7" w:rsidRPr="001012D7">
        <w:t>Mobilisering (ANDT)</w:t>
      </w:r>
      <w:r w:rsidR="001012D7">
        <w:br/>
        <w:t xml:space="preserve">- </w:t>
      </w:r>
      <w:r w:rsidR="001012D7" w:rsidRPr="001012D7">
        <w:t>Överenskommelse missbruk/beroende</w:t>
      </w:r>
      <w:r w:rsidR="001012D7">
        <w:br/>
        <w:t xml:space="preserve">- </w:t>
      </w:r>
      <w:r w:rsidR="001012D7" w:rsidRPr="001012D7">
        <w:t>Jämtbus</w:t>
      </w:r>
      <w:r w:rsidR="00E73C3D">
        <w:br/>
        <w:t>- Samverkan kring ensamkommande flyktingbarn</w:t>
      </w:r>
      <w:r w:rsidR="00E73C3D">
        <w:br/>
        <w:t>- Gemensamma analyser kring öppna jämförelser</w:t>
      </w:r>
      <w:r w:rsidR="00B73653">
        <w:t>.</w:t>
      </w:r>
    </w:p>
    <w:p w:rsidR="00D1550C" w:rsidRDefault="00B77B9E" w:rsidP="00B77B9E">
      <w:pPr>
        <w:pStyle w:val="Brdtext"/>
      </w:pPr>
      <w:r w:rsidRPr="00B77B9E">
        <w:rPr>
          <w:b/>
        </w:rPr>
        <w:t xml:space="preserve">Länssamverkan i framtiden: </w:t>
      </w:r>
      <w:r w:rsidRPr="00B77B9E">
        <w:t xml:space="preserve">Under arbetet med Framtidens hälso- och sjukvård har </w:t>
      </w:r>
      <w:r>
        <w:t>samverkan mellan aktörerna runt barn</w:t>
      </w:r>
      <w:r w:rsidR="000A5292">
        <w:t xml:space="preserve"> och </w:t>
      </w:r>
      <w:r>
        <w:t xml:space="preserve">unga i skolmiljön och runt hela familjen lyfts fram. </w:t>
      </w:r>
      <w:r w:rsidR="00D1550C">
        <w:t xml:space="preserve">Arbetet som görs inom folkhälsoområdet har tydlig koppling mot detta område. </w:t>
      </w:r>
      <w:r w:rsidR="003B6526">
        <w:t xml:space="preserve">Förebyggande insatser behöver högre grad av samarbete än dagens. </w:t>
      </w:r>
      <w:r w:rsidR="00363559">
        <w:t>S</w:t>
      </w:r>
      <w:r w:rsidR="00D1550C">
        <w:t>amordn</w:t>
      </w:r>
      <w:r w:rsidR="00363559">
        <w:t>ing av</w:t>
      </w:r>
      <w:r w:rsidR="00D1550C">
        <w:t xml:space="preserve"> stödet för de äldre och per</w:t>
      </w:r>
      <w:r w:rsidR="003B6526">
        <w:t>sonerna med funktionsnedsättning behöver skapas.</w:t>
      </w:r>
      <w:r w:rsidR="00363559">
        <w:t xml:space="preserve"> Utveckling av vårdens kvalitet</w:t>
      </w:r>
      <w:r w:rsidR="00AB5B09">
        <w:t xml:space="preserve"> är viktigt särskilt för att öka förtroende och trygghet i vården. </w:t>
      </w:r>
      <w:r w:rsidR="00BA5B83">
        <w:br/>
        <w:t>Även inom detta målomr</w:t>
      </w:r>
      <w:r w:rsidR="00FA6583">
        <w:t>åde bör distansoberoende teknik</w:t>
      </w:r>
      <w:r w:rsidR="00AB5B09">
        <w:t xml:space="preserve"> samt hjälpmedel med ny teknik </w:t>
      </w:r>
      <w:r w:rsidR="00BA5B83">
        <w:t xml:space="preserve">prövas. </w:t>
      </w:r>
    </w:p>
    <w:p w:rsidR="00960E4F" w:rsidRPr="00960E4F" w:rsidRDefault="00960E4F" w:rsidP="00960E4F">
      <w:pPr>
        <w:pStyle w:val="Brdtext"/>
      </w:pPr>
      <w:r w:rsidRPr="00960E4F">
        <w:rPr>
          <w:b/>
        </w:rPr>
        <w:t>Koppling till folkhälsopolicyn:</w:t>
      </w:r>
      <w:r>
        <w:t xml:space="preserve"> </w:t>
      </w:r>
      <w:r w:rsidRPr="00960E4F">
        <w:t>Hela detta målområde</w:t>
      </w:r>
      <w:r w:rsidR="00B73653">
        <w:t xml:space="preserve"> (</w:t>
      </w:r>
      <w:r w:rsidR="00B73653" w:rsidRPr="00B73653">
        <w:rPr>
          <w:bCs/>
        </w:rPr>
        <w:t>Hälsofrämjande och trygghetsskapande levnadsvillkor</w:t>
      </w:r>
      <w:r w:rsidR="00B73653">
        <w:rPr>
          <w:bCs/>
        </w:rPr>
        <w:t xml:space="preserve">) </w:t>
      </w:r>
      <w:r w:rsidRPr="00960E4F">
        <w:t>ligger mycket när</w:t>
      </w:r>
      <w:r>
        <w:t>a</w:t>
      </w:r>
      <w:r w:rsidRPr="00960E4F">
        <w:t xml:space="preserve"> folkhälsopolicyns målsättningar. I arbetet med folkhälsopolicyn beslutades inte om någo</w:t>
      </w:r>
      <w:r w:rsidR="00B73653">
        <w:t>n</w:t>
      </w:r>
      <w:r w:rsidRPr="00960E4F">
        <w:t xml:space="preserve"> </w:t>
      </w:r>
      <w:r w:rsidR="00B73653">
        <w:t xml:space="preserve">gemensam </w:t>
      </w:r>
      <w:r w:rsidRPr="00960E4F">
        <w:t>handlingsplan</w:t>
      </w:r>
      <w:r w:rsidR="00B73653">
        <w:t>. V</w:t>
      </w:r>
      <w:r w:rsidRPr="00960E4F">
        <w:t xml:space="preserve">arje organisation </w:t>
      </w:r>
      <w:r w:rsidR="00B73653">
        <w:t xml:space="preserve">ska </w:t>
      </w:r>
      <w:r w:rsidRPr="00960E4F">
        <w:t>arbet</w:t>
      </w:r>
      <w:r w:rsidR="00B73653">
        <w:t>a</w:t>
      </w:r>
      <w:r w:rsidRPr="00960E4F">
        <w:t xml:space="preserve"> </w:t>
      </w:r>
      <w:r w:rsidR="00B73653">
        <w:t xml:space="preserve">lokalt med </w:t>
      </w:r>
      <w:r w:rsidRPr="00960E4F">
        <w:t>folkhälsopolicyn som grund</w:t>
      </w:r>
      <w:r w:rsidR="00B73653">
        <w:t xml:space="preserve"> och göra detta inom Regionförbundet Jämtlands Folkhälsonätverk</w:t>
      </w:r>
      <w:r w:rsidRPr="00960E4F">
        <w:t xml:space="preserve">. I arbetet med hälso- och sjukvårdspolitik lyfter vi också fram </w:t>
      </w:r>
      <w:r w:rsidR="00B73653" w:rsidRPr="00B73653">
        <w:t>folkhälsopolicyns</w:t>
      </w:r>
      <w:r w:rsidRPr="00960E4F">
        <w:t xml:space="preserve"> viktiga område och hoppas på fortsatt arbete med gemensam handlingsplan för att nå målen inom ramen för folkhälsoplanen och hälso- och sjukvårdspolitiken.</w:t>
      </w:r>
    </w:p>
    <w:p w:rsidR="00B77B9E" w:rsidRDefault="00B77B9E" w:rsidP="00B77B9E">
      <w:pPr>
        <w:pStyle w:val="Brdtext"/>
      </w:pPr>
      <w:r w:rsidRPr="00B77B9E">
        <w:rPr>
          <w:b/>
        </w:rPr>
        <w:t>Indikatorer som kan användas för att följa upp målet</w:t>
      </w:r>
      <w:r w:rsidRPr="00B77B9E">
        <w:rPr>
          <w:b/>
        </w:rPr>
        <w:br/>
      </w:r>
      <w:r w:rsidRPr="00B77B9E">
        <w:t>Levnadsvanor</w:t>
      </w:r>
      <w:r w:rsidR="00FA6583">
        <w:t xml:space="preserve">: </w:t>
      </w:r>
      <w:r w:rsidRPr="00B77B9E">
        <w:t xml:space="preserve">rökning, alkohol, narkotika, övervikt/fetma 4åringar, aborter </w:t>
      </w:r>
      <w:r w:rsidRPr="00B77B9E">
        <w:br/>
        <w:t>Hälsosamtal åk 4, åk 7 och gymn</w:t>
      </w:r>
      <w:r w:rsidR="00FA6583">
        <w:t>asiet</w:t>
      </w:r>
      <w:r w:rsidRPr="00B77B9E">
        <w:t xml:space="preserve"> åk1, </w:t>
      </w:r>
      <w:r>
        <w:br/>
      </w:r>
      <w:r w:rsidRPr="00B77B9E">
        <w:t>Alla indikatorerna inom Bättre liv sjuka äldre</w:t>
      </w:r>
      <w:r w:rsidR="00E73C3D">
        <w:br/>
        <w:t>Öppna jämförelsers indikatorer för god vård</w:t>
      </w:r>
      <w:r w:rsidR="00B73653">
        <w:t>.</w:t>
      </w:r>
      <w:r w:rsidRPr="00B77B9E">
        <w:t xml:space="preserve">  </w:t>
      </w:r>
    </w:p>
    <w:p w:rsidR="003502E6" w:rsidRDefault="003502E6" w:rsidP="00F01DE3">
      <w:pPr>
        <w:pStyle w:val="Rubrik2"/>
      </w:pPr>
      <w:bookmarkStart w:id="14" w:name="_Toc354574527"/>
      <w:bookmarkStart w:id="15" w:name="_Toc433200262"/>
      <w:r>
        <w:t>Tillgänglig och samordnad hälso- och sjukvård</w:t>
      </w:r>
      <w:bookmarkEnd w:id="14"/>
      <w:bookmarkEnd w:id="15"/>
    </w:p>
    <w:p w:rsidR="00AE141D" w:rsidRDefault="00D1550C" w:rsidP="00D1550C">
      <w:pPr>
        <w:pStyle w:val="Brdtext"/>
      </w:pPr>
      <w:r w:rsidRPr="00A93FD7">
        <w:rPr>
          <w:b/>
        </w:rPr>
        <w:t>Målgrupp:</w:t>
      </w:r>
      <w:r w:rsidRPr="00A93FD7">
        <w:t xml:space="preserve"> </w:t>
      </w:r>
      <w:r w:rsidR="000B5E84">
        <w:t>Ä</w:t>
      </w:r>
      <w:r w:rsidRPr="004048E2">
        <w:t>ldre</w:t>
      </w:r>
      <w:r>
        <w:t xml:space="preserve">, </w:t>
      </w:r>
      <w:r w:rsidR="00360976">
        <w:t>p</w:t>
      </w:r>
      <w:r w:rsidRPr="004048E2">
        <w:t xml:space="preserve">ersoner med funktionsnedsättning, </w:t>
      </w:r>
      <w:r w:rsidR="00360976">
        <w:t>a</w:t>
      </w:r>
      <w:r w:rsidRPr="004048E2">
        <w:t xml:space="preserve">nhöriga </w:t>
      </w:r>
    </w:p>
    <w:p w:rsidR="00D1550C" w:rsidRDefault="00D1550C" w:rsidP="00D1550C">
      <w:pPr>
        <w:pStyle w:val="Brdtext"/>
      </w:pPr>
      <w:r w:rsidRPr="003502E6">
        <w:rPr>
          <w:b/>
        </w:rPr>
        <w:t>Nuläge:</w:t>
      </w:r>
      <w:r>
        <w:t xml:space="preserve"> </w:t>
      </w:r>
      <w:r w:rsidR="0080716B">
        <w:t>Forskning</w:t>
      </w:r>
      <w:r w:rsidR="00AE141D">
        <w:t xml:space="preserve"> visar att ju fler utförare och vårdpersonal, desto större är risken att vården och omsorgen inte motsvarar behoven. </w:t>
      </w:r>
      <w:r w:rsidR="0080716B">
        <w:t>Forskningen påpekar behovet av funktioner</w:t>
      </w:r>
      <w:r w:rsidR="00AE141D">
        <w:t xml:space="preserve"> med uppgift att samordna vården och omsorgen för de äldre</w:t>
      </w:r>
      <w:r w:rsidR="00E90692">
        <w:t>.</w:t>
      </w:r>
    </w:p>
    <w:p w:rsidR="006E19A7" w:rsidRDefault="006E19A7" w:rsidP="00D1550C">
      <w:pPr>
        <w:pStyle w:val="Brdtext"/>
      </w:pPr>
      <w:r>
        <w:t>Från kommun och landstingsdiskussionerna framfördes behovet av att samarbeta mer för att se individen och helheten, en vårdkedja utan avlänkade delar.</w:t>
      </w:r>
    </w:p>
    <w:p w:rsidR="0080716B" w:rsidRDefault="00EC4B81" w:rsidP="0080716B">
      <w:pPr>
        <w:pStyle w:val="Brdtext"/>
      </w:pPr>
      <w:r>
        <w:lastRenderedPageBreak/>
        <w:t xml:space="preserve">Även de funktionshindrade har en </w:t>
      </w:r>
      <w:r w:rsidR="0080716B">
        <w:t xml:space="preserve">situation </w:t>
      </w:r>
      <w:r>
        <w:t>med många</w:t>
      </w:r>
      <w:r w:rsidR="0080716B">
        <w:t xml:space="preserve"> kontakter med olika myndigheter och vårdgivare. Även här efterlystes mer smidighet och samordning.</w:t>
      </w:r>
    </w:p>
    <w:p w:rsidR="00EC4B81" w:rsidRDefault="003337F4" w:rsidP="00D1550C">
      <w:pPr>
        <w:pStyle w:val="Brdtext"/>
      </w:pPr>
      <w:r>
        <w:t>A</w:t>
      </w:r>
      <w:r w:rsidRPr="003337F4">
        <w:t>nhörigvårdarnas ohä</w:t>
      </w:r>
      <w:r>
        <w:t>lsa är högre än andra gruppers. D</w:t>
      </w:r>
      <w:r w:rsidRPr="003337F4">
        <w:t>e gör ett stort jobb i</w:t>
      </w:r>
      <w:r w:rsidR="00360976">
        <w:t>nom</w:t>
      </w:r>
      <w:r w:rsidRPr="003337F4">
        <w:t xml:space="preserve"> hälso- och sjukvården</w:t>
      </w:r>
      <w:r w:rsidR="00360976">
        <w:t xml:space="preserve"> och </w:t>
      </w:r>
      <w:r w:rsidRPr="003337F4">
        <w:t xml:space="preserve"> med största sannolikhet växer den här gruppen. </w:t>
      </w:r>
      <w:r w:rsidR="00EC4B81">
        <w:t>Anhöriga är en viktig resurs i omhändertagandet av den sjuke och stödet till de anhöriga behöver förbättras, både för den sjukes skull och för att undvika att den anhörig</w:t>
      </w:r>
      <w:r w:rsidR="00360976">
        <w:t>e</w:t>
      </w:r>
      <w:r w:rsidR="00EC4B81">
        <w:t xml:space="preserve"> blir sjuk. </w:t>
      </w:r>
    </w:p>
    <w:p w:rsidR="00D1550C" w:rsidRDefault="00D1550C" w:rsidP="00360976">
      <w:pPr>
        <w:pStyle w:val="Brdtext"/>
      </w:pPr>
      <w:r w:rsidRPr="00B77B9E">
        <w:rPr>
          <w:b/>
        </w:rPr>
        <w:t xml:space="preserve">Länssamverkan i aktuella former: </w:t>
      </w:r>
      <w:r w:rsidRPr="00B77B9E">
        <w:t xml:space="preserve">Samverkan som berör </w:t>
      </w:r>
      <w:r>
        <w:t xml:space="preserve">detta område </w:t>
      </w:r>
      <w:r w:rsidRPr="00B77B9E">
        <w:t>hanter</w:t>
      </w:r>
      <w:r w:rsidR="00586B2E">
        <w:t>as bl a i följande dokument:</w:t>
      </w:r>
      <w:r w:rsidR="00586B2E">
        <w:br/>
        <w:t xml:space="preserve">- </w:t>
      </w:r>
      <w:r w:rsidRPr="00B77B9E">
        <w:t>Bättre liv för sjuka äldre – strategi och handlingsplan</w:t>
      </w:r>
      <w:r w:rsidR="002764DD">
        <w:t>.</w:t>
      </w:r>
    </w:p>
    <w:p w:rsidR="00BD412C" w:rsidRPr="000F6CB5" w:rsidRDefault="00BD412C" w:rsidP="00360976">
      <w:pPr>
        <w:pStyle w:val="Brdtext"/>
        <w:rPr>
          <w:color w:val="000000" w:themeColor="text1"/>
        </w:rPr>
      </w:pPr>
      <w:r>
        <w:t xml:space="preserve">Ett </w:t>
      </w:r>
      <w:r w:rsidRPr="000F6CB5">
        <w:rPr>
          <w:color w:val="000000" w:themeColor="text1"/>
        </w:rPr>
        <w:t xml:space="preserve">nyligen startat projekt handlar om </w:t>
      </w:r>
      <w:r w:rsidR="00A468FB" w:rsidRPr="000F6CB5">
        <w:rPr>
          <w:color w:val="000000" w:themeColor="text1"/>
        </w:rPr>
        <w:t>förstärkt</w:t>
      </w:r>
      <w:r w:rsidRPr="000F6CB5">
        <w:rPr>
          <w:color w:val="000000" w:themeColor="text1"/>
        </w:rPr>
        <w:t xml:space="preserve"> delaktighet </w:t>
      </w:r>
      <w:r w:rsidR="00A468FB" w:rsidRPr="000F6CB5">
        <w:rPr>
          <w:color w:val="000000" w:themeColor="text1"/>
        </w:rPr>
        <w:t xml:space="preserve">och inflytande </w:t>
      </w:r>
      <w:r w:rsidRPr="000F6CB5">
        <w:rPr>
          <w:color w:val="000000" w:themeColor="text1"/>
        </w:rPr>
        <w:t xml:space="preserve">för barn och ungdomar med </w:t>
      </w:r>
      <w:r w:rsidR="00A468FB" w:rsidRPr="000F6CB5">
        <w:rPr>
          <w:color w:val="000000" w:themeColor="text1"/>
        </w:rPr>
        <w:t>funktionsnedsättning</w:t>
      </w:r>
      <w:r w:rsidRPr="000F6CB5">
        <w:rPr>
          <w:color w:val="000000" w:themeColor="text1"/>
        </w:rPr>
        <w:t xml:space="preserve"> samt at</w:t>
      </w:r>
      <w:r w:rsidR="00FA6583" w:rsidRPr="000F6CB5">
        <w:rPr>
          <w:color w:val="000000" w:themeColor="text1"/>
        </w:rPr>
        <w:t>t förstärka brukarmedverkan för</w:t>
      </w:r>
      <w:r w:rsidRPr="000F6CB5">
        <w:rPr>
          <w:color w:val="000000" w:themeColor="text1"/>
        </w:rPr>
        <w:t xml:space="preserve"> </w:t>
      </w:r>
      <w:r w:rsidR="000F6CB5">
        <w:rPr>
          <w:color w:val="000000" w:themeColor="text1"/>
        </w:rPr>
        <w:t xml:space="preserve">personer </w:t>
      </w:r>
      <w:r w:rsidRPr="000F6CB5">
        <w:rPr>
          <w:color w:val="000000" w:themeColor="text1"/>
        </w:rPr>
        <w:t xml:space="preserve">med </w:t>
      </w:r>
      <w:r w:rsidR="00A468FB" w:rsidRPr="000F6CB5">
        <w:rPr>
          <w:color w:val="000000" w:themeColor="text1"/>
        </w:rPr>
        <w:t>funktionsnedsättning</w:t>
      </w:r>
      <w:r w:rsidR="00FA6583" w:rsidRPr="000F6CB5">
        <w:rPr>
          <w:color w:val="000000" w:themeColor="text1"/>
        </w:rPr>
        <w:t>.</w:t>
      </w:r>
    </w:p>
    <w:p w:rsidR="00C42B3F" w:rsidRDefault="00D1550C" w:rsidP="00360976">
      <w:pPr>
        <w:pStyle w:val="Brdtext"/>
      </w:pPr>
      <w:r w:rsidRPr="00B77B9E">
        <w:rPr>
          <w:b/>
        </w:rPr>
        <w:t xml:space="preserve">Länssamverkan i framtiden: </w:t>
      </w:r>
      <w:r w:rsidRPr="00B77B9E">
        <w:t xml:space="preserve">Under arbetet med Framtidens hälso- och sjukvård har </w:t>
      </w:r>
      <w:r>
        <w:t>samverkan mellan aktörerna runt barn/unga i skolmiljön och runt hela familjen lyfts fram</w:t>
      </w:r>
      <w:r w:rsidR="00360976">
        <w:t>, l</w:t>
      </w:r>
      <w:r>
        <w:t xml:space="preserve">iksom </w:t>
      </w:r>
      <w:r w:rsidR="00EC4B81">
        <w:t xml:space="preserve">behovet av att hitta former för att </w:t>
      </w:r>
      <w:r>
        <w:t>samordna stödet för de äldre och personerna med funktionsnedsättning</w:t>
      </w:r>
      <w:r w:rsidR="003B6532">
        <w:t xml:space="preserve">. </w:t>
      </w:r>
      <w:r w:rsidR="003337F4">
        <w:t>Gemensamma initiativ behövs också för att ge stöd till funktionshindrades behov av bättre s</w:t>
      </w:r>
      <w:r w:rsidR="003337F4" w:rsidRPr="003337F4">
        <w:t xml:space="preserve">amordning </w:t>
      </w:r>
      <w:r w:rsidR="00FA6583">
        <w:t xml:space="preserve">av alla </w:t>
      </w:r>
      <w:r w:rsidR="003337F4">
        <w:t>myndighets</w:t>
      </w:r>
      <w:r w:rsidR="003337F4" w:rsidRPr="003337F4">
        <w:t>kontakter</w:t>
      </w:r>
      <w:r w:rsidR="003337F4">
        <w:t xml:space="preserve"> de berör</w:t>
      </w:r>
      <w:r w:rsidR="00360976">
        <w:t>s</w:t>
      </w:r>
      <w:r w:rsidR="003337F4">
        <w:t xml:space="preserve"> av.</w:t>
      </w:r>
      <w:r w:rsidR="003337F4">
        <w:br/>
      </w:r>
      <w:r w:rsidR="00360976">
        <w:t xml:space="preserve">                                                                                                                                                          </w:t>
      </w:r>
      <w:r w:rsidR="003337F4">
        <w:t>U</w:t>
      </w:r>
      <w:r w:rsidR="003B6532">
        <w:t xml:space="preserve">tvecklingen av distansoberoende teknik </w:t>
      </w:r>
      <w:r w:rsidR="003337F4">
        <w:t xml:space="preserve">lyfts </w:t>
      </w:r>
      <w:r w:rsidR="003B6532">
        <w:t>fram som</w:t>
      </w:r>
      <w:r w:rsidR="00360976">
        <w:t xml:space="preserve"> en</w:t>
      </w:r>
      <w:r w:rsidR="003B6532">
        <w:t xml:space="preserve"> lösni</w:t>
      </w:r>
      <w:r w:rsidR="006E19A7">
        <w:t>ng på tillgänglighet i glesbygd</w:t>
      </w:r>
      <w:r w:rsidR="00360976">
        <w:t>. Likaså,</w:t>
      </w:r>
      <w:r w:rsidR="006E19A7">
        <w:t xml:space="preserve"> andra sätt att arbeta i team och </w:t>
      </w:r>
      <w:r w:rsidR="00360976">
        <w:t xml:space="preserve">att </w:t>
      </w:r>
      <w:r w:rsidR="006E19A7">
        <w:t xml:space="preserve">flytta ut </w:t>
      </w:r>
      <w:r w:rsidR="000A5292">
        <w:t>lämplig vård till primärvård, kommun och patienternas hem</w:t>
      </w:r>
      <w:r w:rsidR="00360976">
        <w:t xml:space="preserve"> samt</w:t>
      </w:r>
      <w:r w:rsidR="00BD412C">
        <w:t xml:space="preserve"> utvecklingen av hjälpmedel med ny teknik. </w:t>
      </w:r>
      <w:r w:rsidR="00BD412C">
        <w:br/>
      </w:r>
      <w:r w:rsidR="00360976">
        <w:t xml:space="preserve">                                                                                                                                                                 </w:t>
      </w:r>
      <w:r w:rsidR="00C42B3F">
        <w:t>Små diagnosgrupper</w:t>
      </w:r>
      <w:r w:rsidR="00A468FB">
        <w:t xml:space="preserve"> </w:t>
      </w:r>
      <w:r w:rsidR="00A468FB" w:rsidRPr="000F6CB5">
        <w:rPr>
          <w:color w:val="000000" w:themeColor="text1"/>
        </w:rPr>
        <w:t>(t</w:t>
      </w:r>
      <w:r w:rsidR="00015B36" w:rsidRPr="000F6CB5">
        <w:rPr>
          <w:color w:val="000000" w:themeColor="text1"/>
        </w:rPr>
        <w:t>ex Huntington, Rettssynddrom,</w:t>
      </w:r>
      <w:r w:rsidR="0011443D" w:rsidRPr="000F6CB5">
        <w:rPr>
          <w:color w:val="000000" w:themeColor="text1"/>
        </w:rPr>
        <w:t xml:space="preserve"> CAH</w:t>
      </w:r>
      <w:r w:rsidR="00A468FB" w:rsidRPr="000F6CB5">
        <w:rPr>
          <w:color w:val="000000" w:themeColor="text1"/>
        </w:rPr>
        <w:t>)</w:t>
      </w:r>
      <w:r w:rsidR="0011443D" w:rsidRPr="000F6CB5">
        <w:rPr>
          <w:color w:val="000000" w:themeColor="text1"/>
        </w:rPr>
        <w:t xml:space="preserve">, </w:t>
      </w:r>
      <w:r w:rsidR="00C42B3F" w:rsidRPr="000F6CB5">
        <w:rPr>
          <w:color w:val="000000" w:themeColor="text1"/>
        </w:rPr>
        <w:t xml:space="preserve">är </w:t>
      </w:r>
      <w:r w:rsidR="00C42B3F">
        <w:t xml:space="preserve">särskilt utsatta. Här behöver samarbetet mellan landstinget och kommunerna utvecklas för att tillvarata den kompetens och erfarenhet som finns för att möta dessa patienter på bästa sätt. </w:t>
      </w:r>
    </w:p>
    <w:p w:rsidR="00360976" w:rsidRDefault="000A5292" w:rsidP="00D1550C">
      <w:pPr>
        <w:pStyle w:val="Brdtext"/>
      </w:pPr>
      <w:r>
        <w:t xml:space="preserve">Kompetensförsörjning kommer att vara en gemensam utmaning för kommunerna och landstinget </w:t>
      </w:r>
      <w:r w:rsidR="00360976">
        <w:t>och</w:t>
      </w:r>
      <w:r>
        <w:t xml:space="preserve"> kräver utvecklat samarbete. Det gäller både antal personer inom vården och kompetensutveckling. Gemensamt arbete kring kunskapsstyrning finns också behov</w:t>
      </w:r>
      <w:r w:rsidR="00360976">
        <w:t xml:space="preserve"> av</w:t>
      </w:r>
      <w:r>
        <w:t xml:space="preserve">. </w:t>
      </w:r>
      <w:r w:rsidR="00360976">
        <w:t xml:space="preserve">                                                                            </w:t>
      </w:r>
    </w:p>
    <w:p w:rsidR="000A5292" w:rsidRDefault="003B6526" w:rsidP="00D1550C">
      <w:pPr>
        <w:pStyle w:val="Brdtext"/>
      </w:pPr>
      <w:r w:rsidRPr="003B6526">
        <w:t>Geriatrisk kompetens behöver utvecklas</w:t>
      </w:r>
      <w:r w:rsidR="00D16B24">
        <w:t xml:space="preserve"> gemensamt mellan landsting och kommuner.</w:t>
      </w:r>
    </w:p>
    <w:p w:rsidR="00750D34" w:rsidRDefault="00D1550C" w:rsidP="001037D3">
      <w:pPr>
        <w:pStyle w:val="Brdtext"/>
      </w:pPr>
      <w:r w:rsidRPr="00B77B9E">
        <w:rPr>
          <w:b/>
        </w:rPr>
        <w:t>Indikatorer som kan användas för att följa upp målet</w:t>
      </w:r>
      <w:r w:rsidRPr="00B77B9E">
        <w:rPr>
          <w:b/>
        </w:rPr>
        <w:br/>
      </w:r>
      <w:r>
        <w:t xml:space="preserve">Här är det främst nöjdhetsmätningar av olika slag som kan ge indikation på hur vi lyckas – ex patientenkäter, </w:t>
      </w:r>
      <w:r w:rsidR="003B6532">
        <w:t>brukarenkäter.</w:t>
      </w:r>
      <w:r w:rsidR="001037D3">
        <w:br/>
      </w:r>
      <w:r w:rsidR="00E73C3D">
        <w:t>Tillgänglighetsuppföljningarna (vårdgaranti och kömiljard)</w:t>
      </w:r>
      <w:r w:rsidR="001037D3">
        <w:br/>
      </w:r>
      <w:r w:rsidR="00FC705E">
        <w:t>Uppföljningarna inom ”Bättre liv för de mest sjuka äldre”</w:t>
      </w:r>
      <w:r w:rsidR="00C42B3F">
        <w:br/>
        <w:t xml:space="preserve">Patientnämndens statistik </w:t>
      </w:r>
      <w:r w:rsidR="00C42B3F">
        <w:br/>
        <w:t>Avvikelsesystemen i både landstinget och kommunerna</w:t>
      </w:r>
      <w:r w:rsidR="00360976">
        <w:t>.</w:t>
      </w:r>
    </w:p>
    <w:p w:rsidR="00C42B3F" w:rsidRDefault="00C42B3F" w:rsidP="001037D3">
      <w:pPr>
        <w:pStyle w:val="Brdtext"/>
      </w:pPr>
    </w:p>
    <w:p w:rsidR="000F6CB5" w:rsidRDefault="000F6CB5" w:rsidP="001037D3">
      <w:pPr>
        <w:pStyle w:val="Brdtext"/>
      </w:pPr>
    </w:p>
    <w:p w:rsidR="000F6CB5" w:rsidRDefault="000F6CB5" w:rsidP="001037D3">
      <w:pPr>
        <w:pStyle w:val="Brdtext"/>
      </w:pPr>
    </w:p>
    <w:p w:rsidR="00103A5D" w:rsidRPr="00103A5D" w:rsidRDefault="00103A5D" w:rsidP="00103A5D">
      <w:pPr>
        <w:pStyle w:val="Brdtext"/>
      </w:pPr>
    </w:p>
    <w:p w:rsidR="00E21A69" w:rsidRDefault="008F04E0" w:rsidP="00152AE0">
      <w:pPr>
        <w:pStyle w:val="Rubrik1"/>
        <w:spacing w:after="600"/>
        <w:ind w:left="431" w:hanging="431"/>
      </w:pPr>
      <w:bookmarkStart w:id="16" w:name="_Toc433200263"/>
      <w:r>
        <w:lastRenderedPageBreak/>
        <w:t>Framgångsfaktorer att beakta i det fortsatta arbetet</w:t>
      </w:r>
      <w:bookmarkEnd w:id="16"/>
    </w:p>
    <w:p w:rsidR="00986039" w:rsidRPr="00986039" w:rsidRDefault="00986039" w:rsidP="00F01DE3">
      <w:pPr>
        <w:pStyle w:val="Rubrik2"/>
      </w:pPr>
      <w:bookmarkStart w:id="17" w:name="_Toc433200264"/>
      <w:r w:rsidRPr="00986039">
        <w:t>Länsstruktur för samarbete mellan länets kommuner och landstinget.</w:t>
      </w:r>
      <w:bookmarkEnd w:id="17"/>
    </w:p>
    <w:tbl>
      <w:tblPr>
        <w:tblStyle w:val="Mellanmrktrutnt2-dekorfrg6"/>
        <w:tblpPr w:leftFromText="141" w:rightFromText="141" w:vertAnchor="text" w:horzAnchor="margin" w:tblpY="148"/>
        <w:tblW w:w="8647" w:type="dxa"/>
        <w:tblLook w:val="04A0"/>
      </w:tblPr>
      <w:tblGrid>
        <w:gridCol w:w="1319"/>
        <w:gridCol w:w="3609"/>
        <w:gridCol w:w="3719"/>
      </w:tblGrid>
      <w:tr w:rsidR="00A84F89" w:rsidRPr="00CB1EEC" w:rsidTr="00A84F89">
        <w:trPr>
          <w:cnfStyle w:val="100000000000"/>
          <w:trHeight w:val="271"/>
        </w:trPr>
        <w:tc>
          <w:tcPr>
            <w:cnfStyle w:val="001000000100"/>
            <w:tcW w:w="1319" w:type="dxa"/>
          </w:tcPr>
          <w:p w:rsidR="00A84F89" w:rsidRPr="00CB1EEC" w:rsidRDefault="00A84F89" w:rsidP="00A84F89">
            <w:pPr>
              <w:pStyle w:val="Brdtext"/>
              <w:rPr>
                <w:rFonts w:eastAsia="Times New Roman" w:cs="Times New Roman"/>
                <w:color w:val="auto"/>
                <w:lang w:bidi="sv-SE"/>
              </w:rPr>
            </w:pPr>
          </w:p>
        </w:tc>
        <w:tc>
          <w:tcPr>
            <w:tcW w:w="3609" w:type="dxa"/>
          </w:tcPr>
          <w:p w:rsidR="00A84F89" w:rsidRPr="00CB1EEC" w:rsidRDefault="00A84F89" w:rsidP="00A84F89">
            <w:pPr>
              <w:pStyle w:val="Brdtext"/>
              <w:cnfStyle w:val="100000000000"/>
              <w:rPr>
                <w:rFonts w:eastAsia="Times New Roman" w:cs="Times New Roman"/>
                <w:color w:val="auto"/>
                <w:lang w:bidi="sv-SE"/>
              </w:rPr>
            </w:pPr>
            <w:r w:rsidRPr="00CB1EEC">
              <w:rPr>
                <w:rFonts w:eastAsia="Times New Roman" w:cs="Times New Roman"/>
                <w:color w:val="auto"/>
                <w:lang w:bidi="sv-SE"/>
              </w:rPr>
              <w:t>Positiva faktorer</w:t>
            </w:r>
          </w:p>
        </w:tc>
        <w:tc>
          <w:tcPr>
            <w:tcW w:w="3719" w:type="dxa"/>
          </w:tcPr>
          <w:p w:rsidR="00A84F89" w:rsidRPr="00CB1EEC" w:rsidRDefault="00A84F89" w:rsidP="00A84F89">
            <w:pPr>
              <w:pStyle w:val="Brdtext"/>
              <w:cnfStyle w:val="100000000000"/>
              <w:rPr>
                <w:rFonts w:eastAsia="Times New Roman" w:cs="Times New Roman"/>
                <w:color w:val="auto"/>
                <w:lang w:bidi="sv-SE"/>
              </w:rPr>
            </w:pPr>
            <w:r w:rsidRPr="00CB1EEC">
              <w:rPr>
                <w:rFonts w:eastAsia="Times New Roman" w:cs="Times New Roman"/>
                <w:color w:val="auto"/>
                <w:lang w:bidi="sv-SE"/>
              </w:rPr>
              <w:t>Negativa faktorer</w:t>
            </w:r>
          </w:p>
        </w:tc>
      </w:tr>
      <w:tr w:rsidR="00A84F89" w:rsidRPr="00CB1EEC" w:rsidTr="00A84F89">
        <w:trPr>
          <w:cnfStyle w:val="000000100000"/>
          <w:trHeight w:val="2754"/>
        </w:trPr>
        <w:tc>
          <w:tcPr>
            <w:cnfStyle w:val="001000000000"/>
            <w:tcW w:w="1319" w:type="dxa"/>
          </w:tcPr>
          <w:p w:rsidR="00A84F89" w:rsidRPr="00CB1EEC" w:rsidRDefault="00A84F89" w:rsidP="00A84F89">
            <w:pPr>
              <w:pStyle w:val="Brdtext"/>
              <w:rPr>
                <w:rFonts w:eastAsia="Times New Roman" w:cs="Times New Roman"/>
                <w:color w:val="auto"/>
                <w:lang w:bidi="sv-SE"/>
              </w:rPr>
            </w:pPr>
          </w:p>
          <w:p w:rsidR="00A84F89" w:rsidRPr="00CB1EEC" w:rsidRDefault="00A84F89" w:rsidP="00A84F89">
            <w:pPr>
              <w:pStyle w:val="Brdtext"/>
              <w:rPr>
                <w:rFonts w:eastAsia="Times New Roman" w:cs="Times New Roman"/>
                <w:color w:val="auto"/>
                <w:lang w:bidi="sv-SE"/>
              </w:rPr>
            </w:pPr>
          </w:p>
          <w:p w:rsidR="00A84F89" w:rsidRPr="00CB1EEC" w:rsidRDefault="00A84F89" w:rsidP="00A84F89">
            <w:pPr>
              <w:pStyle w:val="Brdtext"/>
              <w:rPr>
                <w:rFonts w:eastAsia="Times New Roman" w:cs="Times New Roman"/>
                <w:color w:val="auto"/>
                <w:lang w:bidi="sv-SE"/>
              </w:rPr>
            </w:pPr>
          </w:p>
          <w:p w:rsidR="00A84F89" w:rsidRPr="00CB1EEC" w:rsidRDefault="00A84F89" w:rsidP="00A84F89">
            <w:pPr>
              <w:pStyle w:val="Brdtext"/>
              <w:rPr>
                <w:rFonts w:eastAsia="Times New Roman" w:cs="Times New Roman"/>
                <w:color w:val="auto"/>
                <w:lang w:bidi="sv-SE"/>
              </w:rPr>
            </w:pPr>
            <w:r w:rsidRPr="00CB1EEC">
              <w:rPr>
                <w:rFonts w:eastAsia="Times New Roman" w:cs="Times New Roman"/>
                <w:color w:val="auto"/>
                <w:lang w:bidi="sv-SE"/>
              </w:rPr>
              <w:t>Interna faktorer</w:t>
            </w:r>
          </w:p>
        </w:tc>
        <w:tc>
          <w:tcPr>
            <w:tcW w:w="3609" w:type="dxa"/>
          </w:tcPr>
          <w:p w:rsidR="00A84F89" w:rsidRPr="00CB1EEC" w:rsidRDefault="005F4748" w:rsidP="00A84F89">
            <w:pPr>
              <w:pStyle w:val="Brdtext"/>
              <w:cnfStyle w:val="000000100000"/>
              <w:rPr>
                <w:rFonts w:eastAsia="Times New Roman" w:cs="Times New Roman"/>
                <w:color w:val="auto"/>
                <w:lang w:bidi="sv-SE"/>
              </w:rPr>
            </w:pPr>
            <w:r w:rsidRPr="005F4748">
              <w:rPr>
                <w:lang w:val="en-US"/>
              </w:rPr>
              <w:pict>
                <v:shape id="_x0000_s1040" type="#_x0000_t202" style="position:absolute;margin-left:3.55pt;margin-top:18.6pt;width:132.8pt;height:81.8pt;z-index:-251654656;mso-position-horizontal-relative:text;mso-position-vertical-relative:text;mso-width-relative:margin;mso-height-relative:margin" fillcolor="#fabf8f [1945]" strokecolor="#fabf8f [1945]" strokeweight="1pt">
                  <v:fill color2="#fde9d9 [665]" angle="-45" focus="-50%" type="gradient"/>
                  <v:shadow type="perspective" color="#974706 [1609]" opacity=".5" offset="1pt" offset2="-3pt"/>
                  <v:textbox style="mso-next-textbox:#_x0000_s1040">
                    <w:txbxContent>
                      <w:p w:rsidR="00804B24" w:rsidRPr="00E879C8" w:rsidRDefault="00804B24" w:rsidP="00A84F89">
                        <w:pPr>
                          <w:cnfStyle w:val="000000100000"/>
                          <w:rPr>
                            <w:lang w:val="en-US"/>
                          </w:rPr>
                        </w:pPr>
                        <w:r>
                          <w:t>Styrkor</w:t>
                        </w:r>
                      </w:p>
                    </w:txbxContent>
                  </v:textbox>
                </v:shape>
              </w:pict>
            </w:r>
            <w:r w:rsidR="00A84F89" w:rsidRPr="00CB1EEC">
              <w:rPr>
                <w:rFonts w:eastAsia="Times New Roman" w:cs="Times New Roman"/>
                <w:color w:val="auto"/>
                <w:lang w:bidi="sv-SE"/>
              </w:rPr>
              <w:t>Styrkor</w:t>
            </w:r>
          </w:p>
          <w:p w:rsidR="00A84F89" w:rsidRPr="00CB1EEC" w:rsidRDefault="00A84F89" w:rsidP="00A84F89">
            <w:pPr>
              <w:pStyle w:val="Brdtext"/>
              <w:numPr>
                <w:ilvl w:val="0"/>
                <w:numId w:val="20"/>
              </w:numPr>
              <w:cnfStyle w:val="000000100000"/>
              <w:rPr>
                <w:rFonts w:eastAsia="Times New Roman" w:cs="Times New Roman"/>
                <w:color w:val="auto"/>
                <w:lang w:bidi="sv-SE"/>
              </w:rPr>
            </w:pPr>
            <w:r w:rsidRPr="00CB1EEC">
              <w:rPr>
                <w:rFonts w:eastAsia="Times New Roman" w:cs="Times New Roman"/>
                <w:color w:val="auto"/>
                <w:lang w:bidi="sv-SE"/>
              </w:rPr>
              <w:t>Lång vana av samarbete</w:t>
            </w:r>
          </w:p>
          <w:p w:rsidR="00A84F89" w:rsidRPr="00CB1EEC" w:rsidRDefault="00A84F89" w:rsidP="00A84F89">
            <w:pPr>
              <w:pStyle w:val="Brdtext"/>
              <w:numPr>
                <w:ilvl w:val="0"/>
                <w:numId w:val="20"/>
              </w:numPr>
              <w:cnfStyle w:val="000000100000"/>
              <w:rPr>
                <w:rFonts w:eastAsia="Times New Roman" w:cs="Times New Roman"/>
                <w:color w:val="auto"/>
                <w:lang w:bidi="sv-SE"/>
              </w:rPr>
            </w:pPr>
            <w:r w:rsidRPr="00CB1EEC">
              <w:rPr>
                <w:rFonts w:eastAsia="Times New Roman" w:cs="Times New Roman"/>
                <w:color w:val="auto"/>
                <w:lang w:bidi="sv-SE"/>
              </w:rPr>
              <w:t>Många samarbetsarenor</w:t>
            </w:r>
          </w:p>
          <w:p w:rsidR="00A84F89" w:rsidRPr="00CB1EEC" w:rsidRDefault="00A84F89" w:rsidP="00A84F89">
            <w:pPr>
              <w:pStyle w:val="Brdtext"/>
              <w:numPr>
                <w:ilvl w:val="0"/>
                <w:numId w:val="20"/>
              </w:numPr>
              <w:cnfStyle w:val="000000100000"/>
              <w:rPr>
                <w:rFonts w:eastAsia="Times New Roman" w:cs="Times New Roman"/>
                <w:color w:val="auto"/>
                <w:lang w:bidi="sv-SE"/>
              </w:rPr>
            </w:pPr>
            <w:r w:rsidRPr="00CB1EEC">
              <w:rPr>
                <w:rFonts w:eastAsia="Times New Roman" w:cs="Times New Roman"/>
                <w:color w:val="auto"/>
                <w:lang w:bidi="sv-SE"/>
              </w:rPr>
              <w:t>God tillgång på statistik och fakta</w:t>
            </w:r>
          </w:p>
          <w:p w:rsidR="00A84F89" w:rsidRPr="00CB1EEC" w:rsidRDefault="00A84F89" w:rsidP="00A84F89">
            <w:pPr>
              <w:pStyle w:val="Brdtext"/>
              <w:numPr>
                <w:ilvl w:val="0"/>
                <w:numId w:val="20"/>
              </w:numPr>
              <w:cnfStyle w:val="000000100000"/>
              <w:rPr>
                <w:rFonts w:eastAsia="Times New Roman" w:cs="Times New Roman"/>
                <w:color w:val="auto"/>
                <w:lang w:bidi="sv-SE"/>
              </w:rPr>
            </w:pPr>
            <w:r w:rsidRPr="00CB1EEC">
              <w:rPr>
                <w:rFonts w:eastAsia="Times New Roman" w:cs="Times New Roman"/>
                <w:color w:val="auto"/>
                <w:lang w:bidi="sv-SE"/>
              </w:rPr>
              <w:t>Små organisationer där många personer känner varandra</w:t>
            </w:r>
          </w:p>
          <w:p w:rsidR="00A84F89" w:rsidRPr="00CB1EEC" w:rsidRDefault="00A84F89" w:rsidP="00A84F89">
            <w:pPr>
              <w:pStyle w:val="Brdtext"/>
              <w:numPr>
                <w:ilvl w:val="0"/>
                <w:numId w:val="20"/>
              </w:numPr>
              <w:cnfStyle w:val="000000100000"/>
              <w:rPr>
                <w:rFonts w:eastAsia="Times New Roman" w:cs="Times New Roman"/>
                <w:color w:val="auto"/>
                <w:lang w:bidi="sv-SE"/>
              </w:rPr>
            </w:pPr>
            <w:r w:rsidRPr="00CB1EEC">
              <w:rPr>
                <w:rFonts w:eastAsia="Times New Roman" w:cs="Times New Roman"/>
                <w:color w:val="auto"/>
                <w:lang w:bidi="sv-SE"/>
              </w:rPr>
              <w:t>Mycket gott samarbete finns redan</w:t>
            </w:r>
          </w:p>
        </w:tc>
        <w:tc>
          <w:tcPr>
            <w:tcW w:w="3719" w:type="dxa"/>
          </w:tcPr>
          <w:p w:rsidR="00A84F89" w:rsidRPr="00CB1EEC" w:rsidRDefault="00A84F89" w:rsidP="00A84F89">
            <w:pPr>
              <w:pStyle w:val="Brdtext"/>
              <w:cnfStyle w:val="000000100000"/>
              <w:rPr>
                <w:rFonts w:eastAsia="Times New Roman" w:cs="Times New Roman"/>
                <w:color w:val="auto"/>
                <w:lang w:bidi="sv-SE"/>
              </w:rPr>
            </w:pPr>
            <w:r w:rsidRPr="00CB1EEC">
              <w:rPr>
                <w:rFonts w:eastAsia="Times New Roman" w:cs="Times New Roman"/>
                <w:color w:val="auto"/>
                <w:lang w:bidi="sv-SE"/>
              </w:rPr>
              <w:t>Svagheter</w:t>
            </w:r>
          </w:p>
          <w:p w:rsidR="00A84F89" w:rsidRPr="00CB1EEC" w:rsidRDefault="00A84F89" w:rsidP="00A84F89">
            <w:pPr>
              <w:pStyle w:val="Brdtext"/>
              <w:numPr>
                <w:ilvl w:val="0"/>
                <w:numId w:val="21"/>
              </w:numPr>
              <w:cnfStyle w:val="000000100000"/>
              <w:rPr>
                <w:rFonts w:eastAsia="Times New Roman" w:cs="Times New Roman"/>
                <w:color w:val="auto"/>
                <w:lang w:bidi="sv-SE"/>
              </w:rPr>
            </w:pPr>
            <w:r w:rsidRPr="00CB1EEC">
              <w:rPr>
                <w:rFonts w:eastAsia="Times New Roman" w:cs="Times New Roman"/>
                <w:color w:val="auto"/>
                <w:lang w:bidi="sv-SE"/>
              </w:rPr>
              <w:t>Var och en fokuserar på sin verksamhet och ser inte helhet över organisationsgränser</w:t>
            </w:r>
          </w:p>
          <w:p w:rsidR="00A84F89" w:rsidRPr="00CB1EEC" w:rsidRDefault="00A84F89" w:rsidP="00A84F89">
            <w:pPr>
              <w:pStyle w:val="Brdtext"/>
              <w:numPr>
                <w:ilvl w:val="0"/>
                <w:numId w:val="21"/>
              </w:numPr>
              <w:cnfStyle w:val="000000100000"/>
              <w:rPr>
                <w:rFonts w:eastAsia="Times New Roman" w:cs="Times New Roman"/>
                <w:color w:val="auto"/>
                <w:lang w:bidi="sv-SE"/>
              </w:rPr>
            </w:pPr>
            <w:r w:rsidRPr="00CB1EEC">
              <w:rPr>
                <w:rFonts w:eastAsia="Times New Roman" w:cs="Times New Roman"/>
                <w:color w:val="auto"/>
                <w:lang w:bidi="sv-SE"/>
              </w:rPr>
              <w:t>Verksamheterna ser till sina behov och inte till medborgarnas/ brukarnas/patienternas behov</w:t>
            </w:r>
          </w:p>
          <w:p w:rsidR="00A84F89" w:rsidRPr="00CB1EEC" w:rsidRDefault="00A84F89" w:rsidP="00A84F89">
            <w:pPr>
              <w:pStyle w:val="Brdtext"/>
              <w:numPr>
                <w:ilvl w:val="0"/>
                <w:numId w:val="21"/>
              </w:numPr>
              <w:cnfStyle w:val="000000100000"/>
              <w:rPr>
                <w:rFonts w:eastAsia="Times New Roman" w:cs="Times New Roman"/>
                <w:color w:val="auto"/>
                <w:lang w:bidi="sv-SE"/>
              </w:rPr>
            </w:pPr>
            <w:r w:rsidRPr="00CB1EEC">
              <w:rPr>
                <w:rFonts w:eastAsia="Times New Roman" w:cs="Times New Roman"/>
                <w:color w:val="auto"/>
                <w:lang w:bidi="sv-SE"/>
              </w:rPr>
              <w:t>Ekonomiska hinder för samverkan mellan olika huvudmän</w:t>
            </w:r>
          </w:p>
          <w:p w:rsidR="00A84F89" w:rsidRPr="00CB1EEC" w:rsidRDefault="00A84F89" w:rsidP="00A84F89">
            <w:pPr>
              <w:pStyle w:val="Brdtext"/>
              <w:numPr>
                <w:ilvl w:val="0"/>
                <w:numId w:val="21"/>
              </w:numPr>
              <w:cnfStyle w:val="000000100000"/>
              <w:rPr>
                <w:rFonts w:eastAsia="Times New Roman" w:cs="Times New Roman"/>
                <w:color w:val="auto"/>
                <w:lang w:bidi="sv-SE"/>
              </w:rPr>
            </w:pPr>
            <w:r w:rsidRPr="00CB1EEC">
              <w:rPr>
                <w:rFonts w:eastAsia="Times New Roman" w:cs="Times New Roman"/>
                <w:color w:val="auto"/>
                <w:lang w:bidi="sv-SE"/>
              </w:rPr>
              <w:t xml:space="preserve">Ingen vana av gemensam uppföljning </w:t>
            </w:r>
          </w:p>
        </w:tc>
      </w:tr>
      <w:tr w:rsidR="00A84F89" w:rsidRPr="00CB1EEC" w:rsidTr="00A84F89">
        <w:trPr>
          <w:trHeight w:val="2434"/>
        </w:trPr>
        <w:tc>
          <w:tcPr>
            <w:cnfStyle w:val="001000000000"/>
            <w:tcW w:w="1319" w:type="dxa"/>
          </w:tcPr>
          <w:p w:rsidR="00A84F89" w:rsidRPr="00CB1EEC" w:rsidRDefault="00A84F89" w:rsidP="00A84F89">
            <w:pPr>
              <w:pStyle w:val="Brdtext"/>
              <w:rPr>
                <w:rFonts w:eastAsia="Times New Roman" w:cs="Times New Roman"/>
                <w:color w:val="auto"/>
                <w:lang w:bidi="sv-SE"/>
              </w:rPr>
            </w:pPr>
          </w:p>
          <w:p w:rsidR="00A84F89" w:rsidRPr="00CB1EEC" w:rsidRDefault="00A84F89" w:rsidP="00A84F89">
            <w:pPr>
              <w:pStyle w:val="Brdtext"/>
              <w:rPr>
                <w:rFonts w:eastAsia="Times New Roman" w:cs="Times New Roman"/>
                <w:color w:val="auto"/>
                <w:lang w:bidi="sv-SE"/>
              </w:rPr>
            </w:pPr>
          </w:p>
          <w:p w:rsidR="00A84F89" w:rsidRPr="00CB1EEC" w:rsidRDefault="00A84F89" w:rsidP="00A84F89">
            <w:pPr>
              <w:pStyle w:val="Brdtext"/>
              <w:rPr>
                <w:rFonts w:eastAsia="Times New Roman" w:cs="Times New Roman"/>
                <w:color w:val="auto"/>
                <w:lang w:bidi="sv-SE"/>
              </w:rPr>
            </w:pPr>
          </w:p>
          <w:p w:rsidR="00A84F89" w:rsidRPr="00CB1EEC" w:rsidRDefault="00A84F89" w:rsidP="00A84F89">
            <w:pPr>
              <w:pStyle w:val="Brdtext"/>
              <w:rPr>
                <w:rFonts w:eastAsia="Times New Roman" w:cs="Times New Roman"/>
                <w:color w:val="auto"/>
                <w:lang w:bidi="sv-SE"/>
              </w:rPr>
            </w:pPr>
            <w:r w:rsidRPr="00CB1EEC">
              <w:rPr>
                <w:rFonts w:eastAsia="Times New Roman" w:cs="Times New Roman"/>
                <w:color w:val="auto"/>
                <w:lang w:bidi="sv-SE"/>
              </w:rPr>
              <w:t>Externa faktorer</w:t>
            </w:r>
          </w:p>
        </w:tc>
        <w:tc>
          <w:tcPr>
            <w:tcW w:w="3609" w:type="dxa"/>
          </w:tcPr>
          <w:p w:rsidR="00A84F89" w:rsidRPr="00CB1EEC" w:rsidRDefault="00A84F89" w:rsidP="00A84F89">
            <w:pPr>
              <w:pStyle w:val="Brdtext"/>
              <w:cnfStyle w:val="000000000000"/>
              <w:rPr>
                <w:rFonts w:eastAsia="Times New Roman" w:cs="Times New Roman"/>
                <w:color w:val="auto"/>
                <w:lang w:bidi="sv-SE"/>
              </w:rPr>
            </w:pPr>
            <w:r w:rsidRPr="00CB1EEC">
              <w:rPr>
                <w:rFonts w:eastAsia="Times New Roman" w:cs="Times New Roman"/>
                <w:color w:val="auto"/>
                <w:lang w:bidi="sv-SE"/>
              </w:rPr>
              <w:t>Möjligheter</w:t>
            </w:r>
          </w:p>
          <w:p w:rsidR="00A84F89" w:rsidRPr="00CB1EEC" w:rsidRDefault="00A84F89" w:rsidP="00A84F89">
            <w:pPr>
              <w:pStyle w:val="Brdtext"/>
              <w:numPr>
                <w:ilvl w:val="0"/>
                <w:numId w:val="22"/>
              </w:numPr>
              <w:cnfStyle w:val="000000000000"/>
              <w:rPr>
                <w:rFonts w:eastAsia="Times New Roman" w:cs="Times New Roman"/>
                <w:color w:val="auto"/>
                <w:lang w:bidi="sv-SE"/>
              </w:rPr>
            </w:pPr>
            <w:r w:rsidRPr="00CB1EEC">
              <w:rPr>
                <w:rFonts w:eastAsia="Times New Roman" w:cs="Times New Roman"/>
                <w:color w:val="auto"/>
                <w:lang w:bidi="sv-SE"/>
              </w:rPr>
              <w:t>Statens stimulansmedel ger länet möjligheter att hitta nya arbetssätt</w:t>
            </w:r>
          </w:p>
          <w:p w:rsidR="00A84F89" w:rsidRPr="00CB1EEC" w:rsidRDefault="00A84F89" w:rsidP="00A84F89">
            <w:pPr>
              <w:pStyle w:val="Brdtext"/>
              <w:numPr>
                <w:ilvl w:val="0"/>
                <w:numId w:val="22"/>
              </w:numPr>
              <w:cnfStyle w:val="000000000000"/>
              <w:rPr>
                <w:rFonts w:eastAsia="Times New Roman" w:cs="Times New Roman"/>
                <w:color w:val="auto"/>
                <w:lang w:bidi="sv-SE"/>
              </w:rPr>
            </w:pPr>
            <w:r w:rsidRPr="00CB1EEC">
              <w:rPr>
                <w:rFonts w:eastAsia="Times New Roman" w:cs="Times New Roman"/>
                <w:color w:val="auto"/>
                <w:lang w:bidi="sv-SE"/>
              </w:rPr>
              <w:t>Nationella organ ger ut mycket ny forskning och uppföljning, t ex nationella riktlinjer och öppna jämförelser</w:t>
            </w:r>
          </w:p>
        </w:tc>
        <w:tc>
          <w:tcPr>
            <w:tcW w:w="3719" w:type="dxa"/>
          </w:tcPr>
          <w:p w:rsidR="00A84F89" w:rsidRPr="00CB1EEC" w:rsidRDefault="00A84F89" w:rsidP="00A84F89">
            <w:pPr>
              <w:pStyle w:val="Brdtext"/>
              <w:cnfStyle w:val="000000000000"/>
              <w:rPr>
                <w:rFonts w:eastAsia="Times New Roman" w:cs="Times New Roman"/>
                <w:color w:val="auto"/>
                <w:lang w:bidi="sv-SE"/>
              </w:rPr>
            </w:pPr>
            <w:r w:rsidRPr="00CB1EEC">
              <w:rPr>
                <w:rFonts w:eastAsia="Times New Roman" w:cs="Times New Roman"/>
                <w:color w:val="auto"/>
                <w:lang w:bidi="sv-SE"/>
              </w:rPr>
              <w:t>Hot</w:t>
            </w:r>
          </w:p>
          <w:p w:rsidR="00A84F89" w:rsidRPr="00CB1EEC" w:rsidRDefault="00A84F89" w:rsidP="00A84F89">
            <w:pPr>
              <w:pStyle w:val="Brdtext"/>
              <w:numPr>
                <w:ilvl w:val="0"/>
                <w:numId w:val="23"/>
              </w:numPr>
              <w:cnfStyle w:val="000000000000"/>
              <w:rPr>
                <w:rFonts w:eastAsia="Times New Roman" w:cs="Times New Roman"/>
                <w:color w:val="auto"/>
                <w:lang w:bidi="sv-SE"/>
              </w:rPr>
            </w:pPr>
            <w:r w:rsidRPr="00CB1EEC">
              <w:rPr>
                <w:rFonts w:eastAsia="Times New Roman" w:cs="Times New Roman"/>
                <w:color w:val="auto"/>
                <w:lang w:bidi="sv-SE"/>
              </w:rPr>
              <w:t>Stimulansmedlen styr till det vi kanske inte vill göra</w:t>
            </w:r>
          </w:p>
          <w:p w:rsidR="00A84F89" w:rsidRPr="00CB1EEC" w:rsidRDefault="00A84F89" w:rsidP="00A84F89">
            <w:pPr>
              <w:pStyle w:val="Brdtext"/>
              <w:numPr>
                <w:ilvl w:val="0"/>
                <w:numId w:val="23"/>
              </w:numPr>
              <w:cnfStyle w:val="000000000000"/>
              <w:rPr>
                <w:rFonts w:eastAsia="Times New Roman" w:cs="Times New Roman"/>
                <w:color w:val="auto"/>
                <w:lang w:bidi="sv-SE"/>
              </w:rPr>
            </w:pPr>
            <w:r w:rsidRPr="00CB1EEC">
              <w:rPr>
                <w:rFonts w:eastAsia="Times New Roman" w:cs="Times New Roman"/>
                <w:color w:val="auto"/>
                <w:lang w:bidi="sv-SE"/>
              </w:rPr>
              <w:t xml:space="preserve">Vad händer om stimulansmedlen försvinner </w:t>
            </w:r>
          </w:p>
          <w:p w:rsidR="00A84F89" w:rsidRPr="00CB1EEC" w:rsidRDefault="00A84F89" w:rsidP="00A84F89">
            <w:pPr>
              <w:pStyle w:val="Brdtext"/>
              <w:cnfStyle w:val="000000000000"/>
              <w:rPr>
                <w:rFonts w:eastAsia="Times New Roman" w:cs="Times New Roman"/>
                <w:color w:val="auto"/>
                <w:lang w:bidi="sv-SE"/>
              </w:rPr>
            </w:pPr>
          </w:p>
        </w:tc>
      </w:tr>
    </w:tbl>
    <w:p w:rsidR="00986039" w:rsidRDefault="0098603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A84F89" w:rsidRDefault="00A84F89" w:rsidP="00775A39">
      <w:pPr>
        <w:pStyle w:val="Brdtext"/>
        <w:rPr>
          <w:lang w:bidi="sv-SE"/>
        </w:rPr>
      </w:pPr>
    </w:p>
    <w:p w:rsidR="00986039" w:rsidRDefault="00986039" w:rsidP="00775A39">
      <w:pPr>
        <w:pStyle w:val="Brdtext"/>
        <w:rPr>
          <w:b/>
        </w:rPr>
      </w:pPr>
      <w:r>
        <w:rPr>
          <w:lang w:bidi="sv-SE"/>
        </w:rPr>
        <w:t>U</w:t>
      </w:r>
      <w:r w:rsidR="00775A39" w:rsidRPr="007E6FBD">
        <w:rPr>
          <w:lang w:bidi="sv-SE"/>
        </w:rPr>
        <w:t>nder arbete</w:t>
      </w:r>
      <w:r w:rsidR="00775A39">
        <w:rPr>
          <w:lang w:bidi="sv-SE"/>
        </w:rPr>
        <w:t xml:space="preserve"> </w:t>
      </w:r>
      <w:r w:rsidR="00775A39" w:rsidRPr="007E6FBD">
        <w:rPr>
          <w:lang w:bidi="sv-SE"/>
        </w:rPr>
        <w:t xml:space="preserve">har </w:t>
      </w:r>
      <w:r>
        <w:rPr>
          <w:lang w:bidi="sv-SE"/>
        </w:rPr>
        <w:t>ovanstående</w:t>
      </w:r>
      <w:r w:rsidR="00775A39" w:rsidRPr="007E6FBD">
        <w:rPr>
          <w:lang w:bidi="sv-SE"/>
        </w:rPr>
        <w:t xml:space="preserve"> bild av läget i länet angåend</w:t>
      </w:r>
      <w:r>
        <w:rPr>
          <w:lang w:bidi="sv-SE"/>
        </w:rPr>
        <w:t xml:space="preserve">e </w:t>
      </w:r>
      <w:r w:rsidR="00775A39" w:rsidRPr="007E6FBD">
        <w:rPr>
          <w:b/>
          <w:lang w:bidi="sv-SE"/>
        </w:rPr>
        <w:t>samarbetsklimatet</w:t>
      </w:r>
      <w:r w:rsidR="00775A39" w:rsidRPr="007E6FBD">
        <w:rPr>
          <w:lang w:bidi="sv-SE"/>
        </w:rPr>
        <w:t xml:space="preserve"> vuxit fram:</w:t>
      </w:r>
      <w:r w:rsidR="00CB1EEC">
        <w:rPr>
          <w:lang w:bidi="sv-SE"/>
        </w:rPr>
        <w:br/>
      </w:r>
    </w:p>
    <w:p w:rsidR="00BD734A" w:rsidRDefault="00775A39" w:rsidP="00BD734A">
      <w:pPr>
        <w:pStyle w:val="Brdtext"/>
      </w:pPr>
      <w:r w:rsidRPr="00226E44">
        <w:rPr>
          <w:b/>
        </w:rPr>
        <w:t>Nuläge</w:t>
      </w:r>
      <w:r>
        <w:rPr>
          <w:b/>
        </w:rPr>
        <w:t>/</w:t>
      </w:r>
      <w:r w:rsidRPr="00226E44">
        <w:rPr>
          <w:b/>
        </w:rPr>
        <w:t xml:space="preserve">Länssamverkan i aktuella former: </w:t>
      </w:r>
      <w:r w:rsidRPr="00226E44">
        <w:t>En sammanställning av de samverkansarenor som finns mellan landstinget och kommunerna i länet visar att det finns många olika arenor, både politiska arenor och tjänstemannaarenor. De samverkansarenor som finns har vuxit fram under många år</w:t>
      </w:r>
      <w:r>
        <w:t>,</w:t>
      </w:r>
      <w:r w:rsidR="00986039">
        <w:t xml:space="preserve"> dels utifrån huvudmännens egna behov av samordning och </w:t>
      </w:r>
      <w:r w:rsidRPr="00226E44">
        <w:t xml:space="preserve">dels på uppmaning av staten utifrån olika stimulansmedelsområden. </w:t>
      </w:r>
      <w:r w:rsidR="00BD734A" w:rsidRPr="00226E44">
        <w:t>Som framgår av uppräkning</w:t>
      </w:r>
      <w:r w:rsidR="00BD734A">
        <w:t>en nedan</w:t>
      </w:r>
      <w:r w:rsidR="00BD734A" w:rsidRPr="00226E44">
        <w:t xml:space="preserve"> finns samverkansarenor både för smala sakområden och arenor som har mer övergripande uppdrag.</w:t>
      </w:r>
      <w:r w:rsidR="00BD734A">
        <w:t xml:space="preserve"> Dock finns ingen arena högsta </w:t>
      </w:r>
      <w:r w:rsidR="00BD734A" w:rsidRPr="00226E44">
        <w:t>övergripande arena för diskussion av utvecklingsfrågor mellan kommun- och landstingsstyrelse</w:t>
      </w:r>
      <w:r w:rsidR="00BD734A">
        <w:t xml:space="preserve"> </w:t>
      </w:r>
      <w:r w:rsidR="00BD734A" w:rsidRPr="00226E44">
        <w:t>nivån o</w:t>
      </w:r>
      <w:r w:rsidR="00BD734A">
        <w:t>ch de högsta tjänstemännen, för frågor som ligger ovanför nämndnivån och för samordning mellan olika nämndsområden.</w:t>
      </w:r>
    </w:p>
    <w:p w:rsidR="00A84F89" w:rsidRDefault="00A84F89" w:rsidP="00BD734A">
      <w:pPr>
        <w:pStyle w:val="Brdtext"/>
      </w:pPr>
    </w:p>
    <w:p w:rsidR="00775A39" w:rsidRPr="00226E44" w:rsidRDefault="00775A39" w:rsidP="00775A39">
      <w:pPr>
        <w:pStyle w:val="Brdtext"/>
      </w:pPr>
      <w:r w:rsidRPr="00226E44">
        <w:lastRenderedPageBreak/>
        <w:t>Följande samverkansarenor</w:t>
      </w:r>
      <w:r w:rsidR="00BD734A">
        <w:t xml:space="preserve"> finns idag</w:t>
      </w:r>
      <w:r w:rsidRPr="00226E44">
        <w:t xml:space="preserve">: </w:t>
      </w:r>
    </w:p>
    <w:p w:rsidR="00775A39" w:rsidRPr="00226E44" w:rsidRDefault="00775A39" w:rsidP="00775A39">
      <w:pPr>
        <w:pStyle w:val="Brdtext"/>
        <w:spacing w:after="0"/>
        <w:rPr>
          <w:i/>
        </w:rPr>
      </w:pPr>
      <w:r w:rsidRPr="00226E44">
        <w:rPr>
          <w:i/>
        </w:rPr>
        <w:t>Politiska samverkansarenor:</w:t>
      </w:r>
    </w:p>
    <w:p w:rsidR="002722EB" w:rsidRDefault="00775A39" w:rsidP="00775A39">
      <w:pPr>
        <w:pStyle w:val="Brdtext"/>
        <w:spacing w:after="0"/>
      </w:pPr>
      <w:r w:rsidRPr="00226E44">
        <w:t>Regionförbundet och däri primärkommunala nämnden</w:t>
      </w:r>
      <w:r w:rsidRPr="00226E44">
        <w:br/>
        <w:t xml:space="preserve">Sociala vård och omsorgsgruppen (SVOM) och </w:t>
      </w:r>
      <w:r w:rsidRPr="000F6CB5">
        <w:rPr>
          <w:color w:val="000000" w:themeColor="text1"/>
        </w:rPr>
        <w:t>Barnarenan (</w:t>
      </w:r>
      <w:r w:rsidR="00986039" w:rsidRPr="000F6CB5">
        <w:rPr>
          <w:color w:val="000000" w:themeColor="text1"/>
        </w:rPr>
        <w:t>Politiker med tjänstemannastöd)</w:t>
      </w:r>
      <w:r w:rsidR="00986039" w:rsidRPr="00986039">
        <w:rPr>
          <w:color w:val="FF0000"/>
        </w:rPr>
        <w:t xml:space="preserve"> </w:t>
      </w:r>
      <w:r w:rsidRPr="00986039">
        <w:rPr>
          <w:color w:val="FF0000"/>
        </w:rPr>
        <w:br/>
      </w:r>
      <w:r w:rsidRPr="00226E44">
        <w:t xml:space="preserve">Gemensam nämnd avseende </w:t>
      </w:r>
      <w:r w:rsidR="00CB1EEC">
        <w:t xml:space="preserve">upphandling, </w:t>
      </w:r>
      <w:r w:rsidRPr="00226E44">
        <w:t xml:space="preserve">lagerhållning och distribution av sjukvårdsprodukter </w:t>
      </w:r>
      <w:r w:rsidR="00CB1EEC">
        <w:t xml:space="preserve">samt </w:t>
      </w:r>
      <w:r w:rsidRPr="00226E44">
        <w:t>hjälpmedel</w:t>
      </w:r>
      <w:r w:rsidRPr="00226E44">
        <w:br/>
        <w:t>Gemensam nämnd närvård Frostviken</w:t>
      </w:r>
      <w:r w:rsidRPr="00226E44">
        <w:br/>
      </w:r>
      <w:r w:rsidR="002722EB" w:rsidRPr="00226E44">
        <w:t>Samjam</w:t>
      </w:r>
      <w:r w:rsidR="002722EB">
        <w:t xml:space="preserve">t, </w:t>
      </w:r>
      <w:r w:rsidRPr="00226E44">
        <w:t>Samo</w:t>
      </w:r>
      <w:r w:rsidR="002722EB">
        <w:t>rdningsförbundet Jämtlands län,</w:t>
      </w:r>
    </w:p>
    <w:p w:rsidR="00775A39" w:rsidRDefault="00775A39" w:rsidP="00775A39">
      <w:pPr>
        <w:pStyle w:val="Brdtext"/>
        <w:spacing w:after="0"/>
        <w:rPr>
          <w:i/>
        </w:rPr>
      </w:pPr>
      <w:r w:rsidRPr="00226E44">
        <w:t xml:space="preserve">Folkhälsonätverket för politiker </w:t>
      </w:r>
      <w:r w:rsidRPr="00226E44">
        <w:br/>
        <w:t>Styrgrupp för utveckling av vård och omsorgscollege i Jämtlands län</w:t>
      </w:r>
      <w:r>
        <w:t>.</w:t>
      </w:r>
      <w:r w:rsidRPr="00226E44">
        <w:br/>
      </w:r>
    </w:p>
    <w:p w:rsidR="00775A39" w:rsidRPr="00226E44" w:rsidRDefault="00775A39" w:rsidP="00775A39">
      <w:pPr>
        <w:pStyle w:val="Brdtext"/>
        <w:spacing w:after="0"/>
        <w:rPr>
          <w:i/>
        </w:rPr>
      </w:pPr>
      <w:r w:rsidRPr="00226E44">
        <w:rPr>
          <w:i/>
        </w:rPr>
        <w:t>Tjänstemannaarenor:</w:t>
      </w:r>
    </w:p>
    <w:p w:rsidR="00775A39" w:rsidRPr="000F6CB5" w:rsidRDefault="00775A39" w:rsidP="00BD734A">
      <w:pPr>
        <w:pStyle w:val="Brdtext"/>
        <w:rPr>
          <w:color w:val="000000" w:themeColor="text1"/>
        </w:rPr>
      </w:pPr>
      <w:r w:rsidRPr="00226E44">
        <w:t>Fredagsgruppen och L-IFO (Landstingets och kommunernas individ och familjeomsorg)</w:t>
      </w:r>
      <w:r w:rsidRPr="00226E44">
        <w:br/>
        <w:t>Beredningsgrupp till Gemensamma nämnden för sjukvårdsprodukter och hjälpmedel</w:t>
      </w:r>
      <w:r w:rsidRPr="00226E44">
        <w:br/>
        <w:t>Ledningskraft</w:t>
      </w:r>
      <w:r w:rsidR="00FD389F">
        <w:t xml:space="preserve"> (tillfällig arena under stimulansmedelsperiod)</w:t>
      </w:r>
      <w:r w:rsidRPr="00226E44">
        <w:br/>
        <w:t>Haverikommissionen (vårdplaneringsfrågor)</w:t>
      </w:r>
      <w:r>
        <w:t xml:space="preserve"> </w:t>
      </w:r>
      <w:r w:rsidRPr="00226E44">
        <w:t>och Gråzonsgruppen (arbetsterapi och sjukgymnastik)</w:t>
      </w:r>
      <w:r w:rsidRPr="00226E44">
        <w:br/>
        <w:t>Ledningsgrupp för utveckling av vård och omsorgscollege i Jämtlands län</w:t>
      </w:r>
      <w:r w:rsidRPr="00226E44">
        <w:br/>
        <w:t>Folkhälsonätverket för tjänstemän</w:t>
      </w:r>
      <w:r w:rsidRPr="00226E44">
        <w:br/>
        <w:t>Länsnätverket inom socialpsykiatriområdet</w:t>
      </w:r>
      <w:r w:rsidRPr="00226E44">
        <w:tab/>
      </w:r>
      <w:r w:rsidRPr="00226E44">
        <w:br/>
        <w:t xml:space="preserve">Lokala samverkansgrupper inom Samordningsförbundet </w:t>
      </w:r>
      <w:r w:rsidR="00CB1EEC">
        <w:br/>
      </w:r>
      <w:r w:rsidRPr="00226E44">
        <w:t>Integrationsnätverket (flyktingfrågor)</w:t>
      </w:r>
      <w:r w:rsidRPr="00226E44">
        <w:br/>
        <w:t>Arbetsgrupp integrerad mottagning/verksamhet (frågor kring missbruksbeh</w:t>
      </w:r>
      <w:r>
        <w:t>andling)</w:t>
      </w:r>
      <w:r>
        <w:br/>
        <w:t>Våld i nära relationer</w:t>
      </w:r>
      <w:r>
        <w:br/>
      </w:r>
      <w:r w:rsidRPr="00226E44">
        <w:t>E-hälsa</w:t>
      </w:r>
      <w:r w:rsidRPr="00226E44">
        <w:tab/>
      </w:r>
      <w:r>
        <w:br/>
      </w:r>
      <w:r w:rsidRPr="00226E44">
        <w:t>Myndighetssamverkan</w:t>
      </w:r>
      <w:r w:rsidRPr="00226E44">
        <w:br/>
        <w:t>Nätverket för barnkonventionen</w:t>
      </w:r>
      <w:r>
        <w:t>.</w:t>
      </w:r>
      <w:r w:rsidRPr="00226E44">
        <w:rPr>
          <w:b/>
        </w:rPr>
        <w:br/>
      </w:r>
      <w:r>
        <w:rPr>
          <w:b/>
        </w:rPr>
        <w:t xml:space="preserve">                                                                                                                                                   </w:t>
      </w:r>
      <w:r w:rsidRPr="00226E44">
        <w:rPr>
          <w:b/>
        </w:rPr>
        <w:t>Länssamverkan i framtiden:</w:t>
      </w:r>
      <w:r w:rsidR="00BD734A">
        <w:rPr>
          <w:b/>
        </w:rPr>
        <w:t xml:space="preserve"> </w:t>
      </w:r>
      <w:r w:rsidR="00BD734A" w:rsidRPr="000F6CB5">
        <w:rPr>
          <w:color w:val="000000" w:themeColor="text1"/>
        </w:rPr>
        <w:t>Under arbetet</w:t>
      </w:r>
      <w:r w:rsidR="000F6CB5" w:rsidRPr="000F6CB5">
        <w:rPr>
          <w:color w:val="000000" w:themeColor="text1"/>
        </w:rPr>
        <w:t xml:space="preserve"> med ny</w:t>
      </w:r>
      <w:r w:rsidR="00BD734A" w:rsidRPr="000F6CB5">
        <w:rPr>
          <w:color w:val="000000" w:themeColor="text1"/>
        </w:rPr>
        <w:t xml:space="preserve"> </w:t>
      </w:r>
      <w:r w:rsidR="000F6CB5" w:rsidRPr="000F6CB5">
        <w:rPr>
          <w:color w:val="000000" w:themeColor="text1"/>
        </w:rPr>
        <w:t xml:space="preserve">hälso- och sjukvårdspolitik </w:t>
      </w:r>
      <w:r w:rsidR="00BD734A" w:rsidRPr="000F6CB5">
        <w:rPr>
          <w:color w:val="000000" w:themeColor="text1"/>
        </w:rPr>
        <w:t xml:space="preserve">har det framkommit behov av en övergripande och sammanhållande </w:t>
      </w:r>
      <w:r w:rsidR="000F6CB5" w:rsidRPr="000F6CB5">
        <w:rPr>
          <w:color w:val="000000" w:themeColor="text1"/>
        </w:rPr>
        <w:t xml:space="preserve">politisk </w:t>
      </w:r>
      <w:r w:rsidR="00BD734A" w:rsidRPr="000F6CB5">
        <w:rPr>
          <w:color w:val="000000" w:themeColor="text1"/>
        </w:rPr>
        <w:t xml:space="preserve">arena för </w:t>
      </w:r>
      <w:r w:rsidRPr="000F6CB5">
        <w:rPr>
          <w:color w:val="000000" w:themeColor="text1"/>
        </w:rPr>
        <w:t>kommunernas och landstingets högsta lednin</w:t>
      </w:r>
      <w:r w:rsidR="00BD734A" w:rsidRPr="000F6CB5">
        <w:rPr>
          <w:color w:val="000000" w:themeColor="text1"/>
        </w:rPr>
        <w:t xml:space="preserve">g, där länsutvecklingsfrågor och </w:t>
      </w:r>
      <w:r w:rsidRPr="000F6CB5">
        <w:rPr>
          <w:color w:val="000000" w:themeColor="text1"/>
        </w:rPr>
        <w:t>utvecklingsfrågor kring  medborgarnas hälsa</w:t>
      </w:r>
      <w:r w:rsidR="00BD734A" w:rsidRPr="000F6CB5">
        <w:rPr>
          <w:color w:val="000000" w:themeColor="text1"/>
        </w:rPr>
        <w:t xml:space="preserve"> kan diskuteras.</w:t>
      </w:r>
    </w:p>
    <w:p w:rsidR="00775A39" w:rsidRPr="000F6CB5" w:rsidRDefault="00775A39" w:rsidP="00775A39">
      <w:pPr>
        <w:pStyle w:val="Brdtext"/>
        <w:rPr>
          <w:color w:val="000000" w:themeColor="text1"/>
        </w:rPr>
      </w:pPr>
      <w:r w:rsidRPr="000F6CB5">
        <w:rPr>
          <w:color w:val="000000" w:themeColor="text1"/>
        </w:rPr>
        <w:t>Deltagare: Kommunstyrelseordföranden, landstingsstyrelseordföranden och de högsta tjänstemännen</w:t>
      </w:r>
    </w:p>
    <w:p w:rsidR="00775A39" w:rsidRDefault="00775A39" w:rsidP="00775A39">
      <w:pPr>
        <w:pStyle w:val="Brdtext"/>
      </w:pPr>
      <w:r w:rsidRPr="00AA2B5E">
        <w:rPr>
          <w:i/>
        </w:rPr>
        <w:t>Syftet</w:t>
      </w:r>
      <w:r w:rsidRPr="00226E44">
        <w:t xml:space="preserve"> med en </w:t>
      </w:r>
      <w:r>
        <w:t xml:space="preserve">övergripande </w:t>
      </w:r>
      <w:r w:rsidRPr="00226E44">
        <w:t xml:space="preserve">arena </w:t>
      </w:r>
      <w:r w:rsidR="00CB1EEC">
        <w:t>är</w:t>
      </w:r>
      <w:r w:rsidRPr="00226E44">
        <w:t xml:space="preserve"> att</w:t>
      </w:r>
      <w:r>
        <w:t>:</w:t>
      </w:r>
    </w:p>
    <w:p w:rsidR="00775A39" w:rsidRDefault="00775A39" w:rsidP="00775A39">
      <w:pPr>
        <w:pStyle w:val="Brdtext"/>
        <w:numPr>
          <w:ilvl w:val="0"/>
          <w:numId w:val="27"/>
        </w:numPr>
      </w:pPr>
      <w:r>
        <w:t>T</w:t>
      </w:r>
      <w:r w:rsidRPr="00226E44">
        <w:t>räffas och diskutera huvudmännens övergripande hälso- och sjukvårdsansvar</w:t>
      </w:r>
      <w:r>
        <w:t>, hälso- och sjukvårdens roll i den regionala utvecklingen</w:t>
      </w:r>
      <w:r w:rsidRPr="00226E44">
        <w:t xml:space="preserve"> och det gemensamma ansvaret för medborgarnas hälsa</w:t>
      </w:r>
    </w:p>
    <w:p w:rsidR="00BD734A" w:rsidRDefault="00775A39" w:rsidP="00562D11">
      <w:pPr>
        <w:pStyle w:val="Brdtext"/>
        <w:numPr>
          <w:ilvl w:val="0"/>
          <w:numId w:val="27"/>
        </w:numPr>
      </w:pPr>
      <w:r w:rsidRPr="008B78C8">
        <w:t>Se över de organisatoriska gränserna</w:t>
      </w:r>
      <w:r>
        <w:t xml:space="preserve"> </w:t>
      </w:r>
      <w:r w:rsidRPr="008B78C8">
        <w:t>med tydligare ansvarsområden mellan kommun och landsting</w:t>
      </w:r>
    </w:p>
    <w:p w:rsidR="00562D11" w:rsidRPr="000F6CB5" w:rsidRDefault="00BD734A" w:rsidP="00562D11">
      <w:pPr>
        <w:pStyle w:val="Brdtext"/>
        <w:numPr>
          <w:ilvl w:val="0"/>
          <w:numId w:val="27"/>
        </w:numPr>
        <w:rPr>
          <w:color w:val="000000" w:themeColor="text1"/>
        </w:rPr>
      </w:pPr>
      <w:r w:rsidRPr="000F6CB5">
        <w:rPr>
          <w:color w:val="000000" w:themeColor="text1"/>
        </w:rPr>
        <w:t xml:space="preserve">Se över </w:t>
      </w:r>
      <w:r w:rsidR="00775A39" w:rsidRPr="000F6CB5">
        <w:rPr>
          <w:color w:val="000000" w:themeColor="text1"/>
        </w:rPr>
        <w:t>utvecklade samarbetsformer mellan kommun och landstin</w:t>
      </w:r>
      <w:r w:rsidR="00562D11" w:rsidRPr="000F6CB5">
        <w:rPr>
          <w:color w:val="000000" w:themeColor="text1"/>
        </w:rPr>
        <w:t>g för att undvika att individen</w:t>
      </w:r>
      <w:r w:rsidR="00775A39" w:rsidRPr="000F6CB5">
        <w:rPr>
          <w:color w:val="000000" w:themeColor="text1"/>
        </w:rPr>
        <w:t xml:space="preserve"> ”hamnar mellan olika huvudmannastolar”</w:t>
      </w:r>
    </w:p>
    <w:p w:rsidR="00562D11" w:rsidRPr="000F6CB5" w:rsidRDefault="00562D11" w:rsidP="00562D11">
      <w:pPr>
        <w:pStyle w:val="Brdtext"/>
        <w:numPr>
          <w:ilvl w:val="0"/>
          <w:numId w:val="27"/>
        </w:numPr>
        <w:rPr>
          <w:color w:val="000000" w:themeColor="text1"/>
        </w:rPr>
      </w:pPr>
      <w:r w:rsidRPr="000F6CB5">
        <w:rPr>
          <w:color w:val="000000" w:themeColor="text1"/>
        </w:rPr>
        <w:t xml:space="preserve">Sätta medborgarna i centrum </w:t>
      </w:r>
      <w:r w:rsidR="00372612" w:rsidRPr="000F6CB5">
        <w:rPr>
          <w:color w:val="000000" w:themeColor="text1"/>
        </w:rPr>
        <w:t xml:space="preserve">för utvecklat samarbete med övriga samhällsaktörer (AF, FK, Polisen etc). </w:t>
      </w:r>
    </w:p>
    <w:p w:rsidR="00775A39" w:rsidRDefault="00775A39" w:rsidP="00775A39">
      <w:pPr>
        <w:pStyle w:val="Brdtext"/>
        <w:numPr>
          <w:ilvl w:val="0"/>
          <w:numId w:val="27"/>
        </w:numPr>
      </w:pPr>
      <w:r>
        <w:t>G</w:t>
      </w:r>
      <w:r w:rsidRPr="008B78C8">
        <w:t>emensamt analysera hur kommuner och landsting tillsammans på kostnadseffektivaste sätt kan uppfylla medborgarnas behov</w:t>
      </w:r>
      <w:r>
        <w:t>.</w:t>
      </w:r>
    </w:p>
    <w:p w:rsidR="00775A39" w:rsidRDefault="00775A39" w:rsidP="00775A39">
      <w:pPr>
        <w:pStyle w:val="Brdtext"/>
      </w:pPr>
      <w:r w:rsidRPr="00AA2B5E">
        <w:rPr>
          <w:i/>
        </w:rPr>
        <w:t>Frågeställningar</w:t>
      </w:r>
      <w:r w:rsidRPr="00226E44">
        <w:t xml:space="preserve"> vid </w:t>
      </w:r>
      <w:r>
        <w:t>Arenans</w:t>
      </w:r>
      <w:r w:rsidRPr="00226E44">
        <w:t xml:space="preserve"> möte</w:t>
      </w:r>
      <w:r>
        <w:t>n:</w:t>
      </w:r>
    </w:p>
    <w:p w:rsidR="00775A39" w:rsidRDefault="00775A39" w:rsidP="00775A39">
      <w:pPr>
        <w:pStyle w:val="Brdtext"/>
        <w:numPr>
          <w:ilvl w:val="0"/>
          <w:numId w:val="28"/>
        </w:numPr>
      </w:pPr>
      <w:r w:rsidRPr="00226E44">
        <w:t>Hur ser framtidens utmaningar ut?</w:t>
      </w:r>
    </w:p>
    <w:p w:rsidR="00775A39" w:rsidRDefault="00775A39" w:rsidP="00775A39">
      <w:pPr>
        <w:pStyle w:val="Brdtext"/>
        <w:numPr>
          <w:ilvl w:val="0"/>
          <w:numId w:val="28"/>
        </w:numPr>
      </w:pPr>
      <w:r w:rsidRPr="00226E44">
        <w:t>Hur kan vi tillsammans lösa de</w:t>
      </w:r>
      <w:r>
        <w:t>ssa</w:t>
      </w:r>
      <w:r w:rsidRPr="00226E44">
        <w:t xml:space="preserve"> utmaningar på bästa</w:t>
      </w:r>
      <w:r>
        <w:t xml:space="preserve"> sätt</w:t>
      </w:r>
      <w:r w:rsidRPr="00226E44">
        <w:t xml:space="preserve">? </w:t>
      </w:r>
    </w:p>
    <w:p w:rsidR="00775A39" w:rsidRDefault="00775A39" w:rsidP="00775A39">
      <w:pPr>
        <w:pStyle w:val="Brdtext"/>
        <w:numPr>
          <w:ilvl w:val="0"/>
          <w:numId w:val="28"/>
        </w:numPr>
      </w:pPr>
      <w:r>
        <w:lastRenderedPageBreak/>
        <w:t xml:space="preserve">Diskutera och ställa frågan om </w:t>
      </w:r>
      <w:r w:rsidRPr="00226E44">
        <w:t>de samverkansarenor som finns fyller de funktioner som krävs för att uppnå de mål som kommuner och landsting gemensamt vill uppnå</w:t>
      </w:r>
      <w:r>
        <w:t>,</w:t>
      </w:r>
      <w:r w:rsidRPr="00226E44">
        <w:t xml:space="preserve"> för att lösa de strategiska framtidsfrågorna. </w:t>
      </w:r>
    </w:p>
    <w:p w:rsidR="005159C7" w:rsidRDefault="005159C7" w:rsidP="005159C7">
      <w:pPr>
        <w:pStyle w:val="Brdtext"/>
        <w:ind w:left="360"/>
      </w:pPr>
    </w:p>
    <w:p w:rsidR="00775A39" w:rsidRDefault="00775A39" w:rsidP="00775A39">
      <w:pPr>
        <w:pStyle w:val="Brdtext"/>
      </w:pPr>
      <w:r>
        <w:t xml:space="preserve">Arenans </w:t>
      </w:r>
      <w:r w:rsidRPr="00DB5205">
        <w:rPr>
          <w:i/>
        </w:rPr>
        <w:t>funktioner</w:t>
      </w:r>
      <w:r>
        <w:t xml:space="preserve">: </w:t>
      </w:r>
    </w:p>
    <w:p w:rsidR="00775A39" w:rsidRPr="000F6CB5" w:rsidRDefault="00775A39" w:rsidP="00775A39">
      <w:pPr>
        <w:pStyle w:val="Brdtext"/>
        <w:numPr>
          <w:ilvl w:val="0"/>
          <w:numId w:val="29"/>
        </w:numPr>
        <w:rPr>
          <w:color w:val="000000" w:themeColor="text1"/>
        </w:rPr>
      </w:pPr>
      <w:r>
        <w:t xml:space="preserve">Plats </w:t>
      </w:r>
      <w:r w:rsidRPr="00226E44">
        <w:t xml:space="preserve">för samarbete </w:t>
      </w:r>
      <w:r>
        <w:t>med</w:t>
      </w:r>
      <w:r w:rsidRPr="00226E44">
        <w:t xml:space="preserve"> andra parter</w:t>
      </w:r>
      <w:r>
        <w:t>,</w:t>
      </w:r>
      <w:r w:rsidRPr="00226E44">
        <w:t xml:space="preserve"> ex </w:t>
      </w:r>
      <w:r w:rsidRPr="000F6CB5">
        <w:rPr>
          <w:color w:val="000000" w:themeColor="text1"/>
        </w:rPr>
        <w:t>Mittuniversitet</w:t>
      </w:r>
      <w:r w:rsidR="00562D11" w:rsidRPr="000F6CB5">
        <w:rPr>
          <w:color w:val="000000" w:themeColor="text1"/>
        </w:rPr>
        <w:t>. FK, AF</w:t>
      </w:r>
      <w:r w:rsidRPr="000F6CB5">
        <w:rPr>
          <w:color w:val="000000" w:themeColor="text1"/>
        </w:rPr>
        <w:t xml:space="preserve"> och grannlänen.</w:t>
      </w:r>
    </w:p>
    <w:p w:rsidR="00775A39" w:rsidRPr="000F6CB5" w:rsidRDefault="00775A39" w:rsidP="00775A39">
      <w:pPr>
        <w:pStyle w:val="Brdtext"/>
        <w:numPr>
          <w:ilvl w:val="0"/>
          <w:numId w:val="29"/>
        </w:numPr>
        <w:rPr>
          <w:color w:val="000000" w:themeColor="text1"/>
        </w:rPr>
      </w:pPr>
      <w:r w:rsidRPr="000F6CB5">
        <w:rPr>
          <w:color w:val="000000" w:themeColor="text1"/>
        </w:rPr>
        <w:t>Företrädare för de olika samverkansarenorna</w:t>
      </w:r>
      <w:r w:rsidR="004405AE" w:rsidRPr="000F6CB5">
        <w:rPr>
          <w:color w:val="000000" w:themeColor="text1"/>
        </w:rPr>
        <w:t xml:space="preserve"> behöver </w:t>
      </w:r>
      <w:r w:rsidRPr="000F6CB5">
        <w:rPr>
          <w:color w:val="000000" w:themeColor="text1"/>
        </w:rPr>
        <w:t xml:space="preserve">träffas och informera varandra om vad som pågår för att tillsammans med den övergripande arenan analysera behov av samordning. </w:t>
      </w:r>
    </w:p>
    <w:p w:rsidR="00775A39" w:rsidRPr="000F6CB5" w:rsidRDefault="00775A39" w:rsidP="001E7AF5">
      <w:pPr>
        <w:pStyle w:val="Liststycke"/>
        <w:numPr>
          <w:ilvl w:val="0"/>
          <w:numId w:val="29"/>
        </w:numPr>
        <w:rPr>
          <w:color w:val="000000" w:themeColor="text1"/>
        </w:rPr>
      </w:pPr>
      <w:r w:rsidRPr="000F6CB5">
        <w:rPr>
          <w:color w:val="000000" w:themeColor="text1"/>
        </w:rPr>
        <w:t>Ansvaret för uppföljning av utvecklingen av de övergripande</w:t>
      </w:r>
      <w:r w:rsidR="001E7AF5" w:rsidRPr="000F6CB5">
        <w:rPr>
          <w:color w:val="000000" w:themeColor="text1"/>
        </w:rPr>
        <w:t xml:space="preserve"> målen.</w:t>
      </w:r>
      <w:r w:rsidRPr="000F6CB5">
        <w:rPr>
          <w:color w:val="000000" w:themeColor="text1"/>
        </w:rPr>
        <w:t xml:space="preserve"> </w:t>
      </w:r>
      <w:r w:rsidR="001E7AF5" w:rsidRPr="000F6CB5">
        <w:rPr>
          <w:color w:val="000000" w:themeColor="text1"/>
        </w:rPr>
        <w:t>G</w:t>
      </w:r>
      <w:r w:rsidRPr="000F6CB5">
        <w:rPr>
          <w:color w:val="000000" w:themeColor="text1"/>
        </w:rPr>
        <w:t xml:space="preserve">enomgång av måldokumentet vart fjärde år </w:t>
      </w:r>
      <w:r w:rsidR="00BD734A" w:rsidRPr="000F6CB5">
        <w:rPr>
          <w:color w:val="000000" w:themeColor="text1"/>
        </w:rPr>
        <w:t xml:space="preserve">samt </w:t>
      </w:r>
      <w:r w:rsidRPr="000F6CB5">
        <w:rPr>
          <w:color w:val="000000" w:themeColor="text1"/>
        </w:rPr>
        <w:t>uppföljning en gång per år</w:t>
      </w:r>
      <w:r w:rsidR="00BD734A" w:rsidRPr="000F6CB5">
        <w:rPr>
          <w:color w:val="000000" w:themeColor="text1"/>
        </w:rPr>
        <w:t xml:space="preserve"> där utvalda indikatorer följs</w:t>
      </w:r>
      <w:r w:rsidR="001E7AF5" w:rsidRPr="000F6CB5">
        <w:rPr>
          <w:color w:val="000000" w:themeColor="text1"/>
        </w:rPr>
        <w:t>.</w:t>
      </w:r>
      <w:r w:rsidRPr="000F6CB5">
        <w:rPr>
          <w:color w:val="000000" w:themeColor="text1"/>
        </w:rPr>
        <w:t xml:space="preserve"> </w:t>
      </w:r>
      <w:r w:rsidR="001E7AF5" w:rsidRPr="000F6CB5">
        <w:rPr>
          <w:color w:val="000000" w:themeColor="text1"/>
        </w:rPr>
        <w:t>G</w:t>
      </w:r>
      <w:r w:rsidRPr="000F6CB5">
        <w:rPr>
          <w:color w:val="000000" w:themeColor="text1"/>
        </w:rPr>
        <w:t xml:space="preserve">emensam genomgång av mål samt kunskapsinhämtning. </w:t>
      </w:r>
    </w:p>
    <w:p w:rsidR="00775A39" w:rsidRPr="00C42B3F" w:rsidRDefault="00775A39" w:rsidP="00775A39"/>
    <w:p w:rsidR="00775A39" w:rsidRDefault="00775A39" w:rsidP="00775A39">
      <w:r>
        <w:t xml:space="preserve">Landstingsstyrelsens ordförande föreslås vara sammankallande för denna arena. </w:t>
      </w:r>
    </w:p>
    <w:p w:rsidR="00775A39" w:rsidRDefault="00775A39" w:rsidP="00775A39"/>
    <w:p w:rsidR="00775A39" w:rsidRDefault="00BD734A" w:rsidP="00F01DE3">
      <w:pPr>
        <w:pStyle w:val="Rubrik2"/>
        <w:rPr>
          <w:lang w:bidi="sv-SE"/>
        </w:rPr>
      </w:pPr>
      <w:bookmarkStart w:id="18" w:name="_Toc433200265"/>
      <w:r>
        <w:rPr>
          <w:lang w:bidi="sv-SE"/>
        </w:rPr>
        <w:t xml:space="preserve">Nästa steg: </w:t>
      </w:r>
      <w:r w:rsidR="00775A39">
        <w:rPr>
          <w:lang w:bidi="sv-SE"/>
        </w:rPr>
        <w:t>att skapa handlingsplaner för att nå målen</w:t>
      </w:r>
      <w:bookmarkEnd w:id="18"/>
    </w:p>
    <w:p w:rsidR="00FC6C73" w:rsidRDefault="00FC6C73" w:rsidP="00FC6C73">
      <w:pPr>
        <w:pStyle w:val="Brdtext"/>
        <w:rPr>
          <w:bCs/>
          <w:lang w:bidi="sv-SE"/>
        </w:rPr>
      </w:pPr>
      <w:r w:rsidRPr="00FC6C73">
        <w:rPr>
          <w:bCs/>
          <w:lang w:bidi="sv-SE"/>
        </w:rPr>
        <w:t xml:space="preserve">Nästa steg är att utifrån de övergripande </w:t>
      </w:r>
      <w:r w:rsidRPr="000F6CB5">
        <w:rPr>
          <w:bCs/>
          <w:color w:val="000000" w:themeColor="text1"/>
          <w:lang w:bidi="sv-SE"/>
        </w:rPr>
        <w:t xml:space="preserve">målen i </w:t>
      </w:r>
      <w:r w:rsidR="00BD734A" w:rsidRPr="000F6CB5">
        <w:rPr>
          <w:bCs/>
          <w:color w:val="000000" w:themeColor="text1"/>
          <w:lang w:bidi="sv-SE"/>
        </w:rPr>
        <w:t>kapitel 4,</w:t>
      </w:r>
      <w:r w:rsidRPr="000F6CB5">
        <w:rPr>
          <w:bCs/>
          <w:color w:val="000000" w:themeColor="text1"/>
          <w:lang w:bidi="sv-SE"/>
        </w:rPr>
        <w:t xml:space="preserve"> </w:t>
      </w:r>
      <w:r w:rsidRPr="00FC6C73">
        <w:rPr>
          <w:bCs/>
          <w:lang w:bidi="sv-SE"/>
        </w:rPr>
        <w:t xml:space="preserve">skapa handlingsplaner som konkretiserar vägen till målen och vilka mått och indikatorer som ska användas för att följa upp att den väg som valts leder mot de övergripande målen. I det arbetet finns några medskick i form av nedanstående framgångsfaktorer. </w:t>
      </w:r>
    </w:p>
    <w:p w:rsidR="00395170" w:rsidRPr="008F04E0" w:rsidRDefault="00395170" w:rsidP="00395170">
      <w:pPr>
        <w:pStyle w:val="Brdtext"/>
        <w:spacing w:after="0"/>
        <w:rPr>
          <w:b/>
          <w:bCs/>
          <w:lang w:bidi="sv-SE"/>
        </w:rPr>
      </w:pPr>
      <w:r w:rsidRPr="008F04E0">
        <w:rPr>
          <w:b/>
          <w:bCs/>
          <w:lang w:bidi="sv-SE"/>
        </w:rPr>
        <w:t>Brukarperspektiv</w:t>
      </w:r>
    </w:p>
    <w:p w:rsidR="00395170" w:rsidRPr="008F04E0" w:rsidRDefault="00395170" w:rsidP="00395170">
      <w:pPr>
        <w:pStyle w:val="Brdtext"/>
        <w:numPr>
          <w:ilvl w:val="0"/>
          <w:numId w:val="14"/>
        </w:numPr>
        <w:ind w:left="360"/>
        <w:rPr>
          <w:bCs/>
          <w:lang w:bidi="sv-SE"/>
        </w:rPr>
      </w:pPr>
      <w:r w:rsidRPr="008F04E0">
        <w:rPr>
          <w:bCs/>
          <w:iCs/>
          <w:lang w:bidi="sv-SE"/>
        </w:rPr>
        <w:t xml:space="preserve">Brukarperspektivet </w:t>
      </w:r>
      <w:r w:rsidRPr="008F04E0">
        <w:rPr>
          <w:bCs/>
          <w:lang w:bidi="sv-SE"/>
        </w:rPr>
        <w:t>rör specifika tjänster och vänder sig till användarna av dessa som ofta representeras av brukarorganisationer</w:t>
      </w:r>
    </w:p>
    <w:p w:rsidR="00395170" w:rsidRPr="008F04E0" w:rsidRDefault="00395170" w:rsidP="00395170">
      <w:pPr>
        <w:pStyle w:val="Brdtext"/>
        <w:numPr>
          <w:ilvl w:val="0"/>
          <w:numId w:val="14"/>
        </w:numPr>
        <w:ind w:left="360"/>
        <w:rPr>
          <w:bCs/>
          <w:lang w:bidi="sv-SE"/>
        </w:rPr>
      </w:pPr>
      <w:r w:rsidRPr="008F04E0">
        <w:rPr>
          <w:bCs/>
          <w:lang w:bidi="sv-SE"/>
        </w:rPr>
        <w:t xml:space="preserve">Brukarorganisationer besitter ofta stor kunskap om sina specifika intresseområden och </w:t>
      </w:r>
      <w:r w:rsidRPr="00BD734A">
        <w:rPr>
          <w:bCs/>
          <w:strike/>
          <w:lang w:bidi="sv-SE"/>
        </w:rPr>
        <w:t>bör</w:t>
      </w:r>
      <w:r w:rsidRPr="008F04E0">
        <w:rPr>
          <w:bCs/>
          <w:lang w:bidi="sv-SE"/>
        </w:rPr>
        <w:t xml:space="preserve"> </w:t>
      </w:r>
      <w:r>
        <w:rPr>
          <w:bCs/>
          <w:lang w:bidi="sv-SE"/>
        </w:rPr>
        <w:t xml:space="preserve">ska </w:t>
      </w:r>
      <w:r w:rsidRPr="008F04E0">
        <w:rPr>
          <w:bCs/>
          <w:lang w:bidi="sv-SE"/>
        </w:rPr>
        <w:t>involveras i utvecklingen av den framtida hälso- och sjukvårdspolitiken.</w:t>
      </w:r>
    </w:p>
    <w:p w:rsidR="00395170" w:rsidRPr="00486181" w:rsidRDefault="00395170" w:rsidP="00395170">
      <w:pPr>
        <w:pStyle w:val="Brdtext"/>
        <w:rPr>
          <w:bCs/>
          <w:lang w:bidi="sv-SE"/>
        </w:rPr>
      </w:pPr>
      <w:r w:rsidRPr="00486181">
        <w:rPr>
          <w:b/>
          <w:bCs/>
          <w:lang w:bidi="sv-SE"/>
        </w:rPr>
        <w:t xml:space="preserve">Distansoberoende teknik </w:t>
      </w:r>
      <w:r>
        <w:rPr>
          <w:b/>
          <w:bCs/>
          <w:lang w:bidi="sv-SE"/>
        </w:rPr>
        <w:br/>
      </w:r>
      <w:r w:rsidRPr="00486181">
        <w:rPr>
          <w:bCs/>
          <w:lang w:bidi="sv-SE"/>
        </w:rPr>
        <w:t xml:space="preserve">ska utvecklas för att möta behoven hos brukare och patienter av flera skäl: </w:t>
      </w:r>
    </w:p>
    <w:p w:rsidR="00395170" w:rsidRDefault="00395170" w:rsidP="00395170">
      <w:pPr>
        <w:pStyle w:val="Brdtext"/>
        <w:numPr>
          <w:ilvl w:val="1"/>
          <w:numId w:val="32"/>
        </w:numPr>
      </w:pPr>
      <w:r>
        <w:t>Tillgänglighet i glesbygd</w:t>
      </w:r>
    </w:p>
    <w:p w:rsidR="00395170" w:rsidRDefault="00395170" w:rsidP="00395170">
      <w:pPr>
        <w:pStyle w:val="Brdtext"/>
        <w:numPr>
          <w:ilvl w:val="1"/>
          <w:numId w:val="32"/>
        </w:numPr>
      </w:pPr>
      <w:r>
        <w:t>Effektivare nyttjande av befintliga experter</w:t>
      </w:r>
    </w:p>
    <w:p w:rsidR="00395170" w:rsidRDefault="00395170" w:rsidP="00395170">
      <w:pPr>
        <w:pStyle w:val="Brdtext"/>
        <w:numPr>
          <w:ilvl w:val="1"/>
          <w:numId w:val="32"/>
        </w:numPr>
      </w:pPr>
      <w:r>
        <w:t xml:space="preserve">Avlasta verksamheterna vissa uppgifter som patienter/brukare kan göra </w:t>
      </w:r>
    </w:p>
    <w:p w:rsidR="00395170" w:rsidRPr="008F04E0" w:rsidRDefault="00395170" w:rsidP="00395170">
      <w:pPr>
        <w:pStyle w:val="Brdtext"/>
        <w:spacing w:after="0"/>
        <w:rPr>
          <w:b/>
          <w:bCs/>
          <w:lang w:bidi="sv-SE"/>
        </w:rPr>
      </w:pPr>
      <w:r w:rsidRPr="008F04E0">
        <w:rPr>
          <w:b/>
          <w:bCs/>
          <w:lang w:bidi="sv-SE"/>
        </w:rPr>
        <w:t xml:space="preserve">Effektiv ledning och styrning </w:t>
      </w:r>
    </w:p>
    <w:p w:rsidR="00395170" w:rsidRDefault="00395170" w:rsidP="00395170">
      <w:pPr>
        <w:pStyle w:val="Brdtext"/>
        <w:numPr>
          <w:ilvl w:val="0"/>
          <w:numId w:val="10"/>
        </w:numPr>
        <w:ind w:left="360"/>
        <w:rPr>
          <w:bCs/>
          <w:lang w:bidi="sv-SE"/>
        </w:rPr>
      </w:pPr>
      <w:r w:rsidRPr="008F04E0">
        <w:rPr>
          <w:bCs/>
          <w:lang w:bidi="sv-SE"/>
        </w:rPr>
        <w:t>Visa på betydelsen och nödvändigheten av god ledning och styrning för att nå en stark länsgemensam hälso- och sjukvårdspolitik</w:t>
      </w:r>
    </w:p>
    <w:p w:rsidR="00395170" w:rsidRPr="008F04E0" w:rsidRDefault="00395170" w:rsidP="00395170">
      <w:pPr>
        <w:pStyle w:val="Brdtext"/>
        <w:numPr>
          <w:ilvl w:val="0"/>
          <w:numId w:val="10"/>
        </w:numPr>
        <w:ind w:left="360"/>
        <w:rPr>
          <w:bCs/>
          <w:lang w:bidi="sv-SE"/>
        </w:rPr>
      </w:pPr>
      <w:r>
        <w:rPr>
          <w:bCs/>
          <w:lang w:bidi="sv-SE"/>
        </w:rPr>
        <w:t>Spridning av de samverkansöverenskommelser som skapas måste förbättras så att de når längst ut i verksamheterna</w:t>
      </w:r>
    </w:p>
    <w:p w:rsidR="00395170" w:rsidRPr="003261FA" w:rsidRDefault="00395170" w:rsidP="00395170">
      <w:pPr>
        <w:pStyle w:val="Brdtext"/>
        <w:numPr>
          <w:ilvl w:val="0"/>
          <w:numId w:val="10"/>
        </w:numPr>
        <w:ind w:left="360"/>
        <w:rPr>
          <w:b/>
          <w:bCs/>
          <w:lang w:bidi="sv-SE"/>
        </w:rPr>
      </w:pPr>
      <w:r w:rsidRPr="008F04E0">
        <w:rPr>
          <w:bCs/>
          <w:lang w:bidi="sv-SE"/>
        </w:rPr>
        <w:t>Det politiska övergripande dokumentet och handlingsplaner som blir “en följd av” ska inkludera tydliga uppdrag till uppföljning.</w:t>
      </w:r>
    </w:p>
    <w:p w:rsidR="008F04E0" w:rsidRPr="008F04E0" w:rsidRDefault="008F04E0" w:rsidP="00AD1982">
      <w:pPr>
        <w:pStyle w:val="Brdtext"/>
        <w:spacing w:after="0"/>
        <w:rPr>
          <w:b/>
          <w:bCs/>
          <w:lang w:bidi="sv-SE"/>
        </w:rPr>
      </w:pPr>
      <w:r w:rsidRPr="008F04E0">
        <w:rPr>
          <w:b/>
          <w:bCs/>
          <w:lang w:bidi="sv-SE"/>
        </w:rPr>
        <w:t>Helhetsperspektiv</w:t>
      </w:r>
    </w:p>
    <w:p w:rsidR="008F04E0" w:rsidRPr="008F04E0" w:rsidRDefault="008F04E0" w:rsidP="008B78C8">
      <w:pPr>
        <w:pStyle w:val="Brdtext"/>
        <w:numPr>
          <w:ilvl w:val="0"/>
          <w:numId w:val="9"/>
        </w:numPr>
        <w:ind w:left="360"/>
        <w:rPr>
          <w:bCs/>
          <w:lang w:bidi="sv-SE"/>
        </w:rPr>
      </w:pPr>
      <w:r w:rsidRPr="008F04E0">
        <w:rPr>
          <w:bCs/>
          <w:lang w:bidi="sv-SE"/>
        </w:rPr>
        <w:t xml:space="preserve">Se över de organisatoriska gränserna </w:t>
      </w:r>
      <w:r w:rsidRPr="008F04E0">
        <w:rPr>
          <w:bCs/>
          <w:lang w:bidi="sv-SE"/>
        </w:rPr>
        <w:br/>
        <w:t xml:space="preserve">       - med tydligare ansvarsområden mellan kommun och landsting</w:t>
      </w:r>
      <w:r w:rsidRPr="008F04E0">
        <w:rPr>
          <w:bCs/>
          <w:lang w:bidi="sv-SE"/>
        </w:rPr>
        <w:br/>
      </w:r>
      <w:r w:rsidRPr="008F04E0">
        <w:rPr>
          <w:bCs/>
          <w:lang w:bidi="sv-SE"/>
        </w:rPr>
        <w:lastRenderedPageBreak/>
        <w:t xml:space="preserve">       - med utvecklade samarbetsformer mellan kommun och landsting</w:t>
      </w:r>
      <w:r w:rsidR="00BD734A">
        <w:rPr>
          <w:bCs/>
          <w:lang w:bidi="sv-SE"/>
        </w:rPr>
        <w:t xml:space="preserve"> för att undvika att individen </w:t>
      </w:r>
      <w:r w:rsidRPr="008F04E0">
        <w:rPr>
          <w:bCs/>
          <w:lang w:bidi="sv-SE"/>
        </w:rPr>
        <w:t>”hamnar mellan olika huvudmannastolar”</w:t>
      </w:r>
    </w:p>
    <w:p w:rsidR="008F04E0" w:rsidRDefault="008F04E0" w:rsidP="008B78C8">
      <w:pPr>
        <w:pStyle w:val="Brdtext"/>
        <w:numPr>
          <w:ilvl w:val="0"/>
          <w:numId w:val="9"/>
        </w:numPr>
        <w:ind w:left="360"/>
        <w:rPr>
          <w:bCs/>
          <w:lang w:bidi="sv-SE"/>
        </w:rPr>
      </w:pPr>
      <w:r w:rsidRPr="008F04E0">
        <w:rPr>
          <w:bCs/>
          <w:lang w:bidi="sv-SE"/>
        </w:rPr>
        <w:t>Se med ett samhällsekonom</w:t>
      </w:r>
      <w:r w:rsidR="00BD734A">
        <w:rPr>
          <w:bCs/>
          <w:lang w:bidi="sv-SE"/>
        </w:rPr>
        <w:t xml:space="preserve">iskt perspektiv på kostnaderna </w:t>
      </w:r>
      <w:r w:rsidRPr="008F04E0">
        <w:rPr>
          <w:bCs/>
          <w:lang w:bidi="sv-SE"/>
        </w:rPr>
        <w:t xml:space="preserve">eftersom finansiering är en viktig framtidsfråga.  </w:t>
      </w:r>
    </w:p>
    <w:p w:rsidR="000F6CB5" w:rsidRPr="008F04E0" w:rsidRDefault="000F6CB5" w:rsidP="000F6CB5">
      <w:pPr>
        <w:pStyle w:val="Brdtext"/>
        <w:ind w:left="360"/>
        <w:rPr>
          <w:bCs/>
          <w:lang w:bidi="sv-SE"/>
        </w:rPr>
      </w:pPr>
    </w:p>
    <w:p w:rsidR="00395170" w:rsidRPr="005D586A" w:rsidRDefault="00395170" w:rsidP="00395170">
      <w:pPr>
        <w:pStyle w:val="Brdtext"/>
        <w:spacing w:after="0"/>
        <w:rPr>
          <w:b/>
          <w:bCs/>
          <w:lang w:bidi="sv-SE"/>
        </w:rPr>
      </w:pPr>
      <w:r>
        <w:rPr>
          <w:b/>
          <w:bCs/>
          <w:lang w:bidi="sv-SE"/>
        </w:rPr>
        <w:t>Jämställd och jämlik vård</w:t>
      </w:r>
    </w:p>
    <w:p w:rsidR="00395170" w:rsidRDefault="00395170" w:rsidP="000F6CB5">
      <w:pPr>
        <w:pStyle w:val="Brdtext"/>
        <w:numPr>
          <w:ilvl w:val="0"/>
          <w:numId w:val="34"/>
        </w:numPr>
      </w:pPr>
      <w:r>
        <w:t>I det gemensamma arbetet med handslingsplaner och uppföljning av detta dokuments övergripande mål ska</w:t>
      </w:r>
      <w:r w:rsidRPr="003777FA">
        <w:t xml:space="preserve"> jämlikhet och jämställdhet </w:t>
      </w:r>
      <w:r>
        <w:t xml:space="preserve">beaktas. Det innebär att handlingsplanerna ska </w:t>
      </w:r>
      <w:r w:rsidRPr="003777FA">
        <w:t>bygg</w:t>
      </w:r>
      <w:r>
        <w:t>a</w:t>
      </w:r>
      <w:r w:rsidRPr="003777FA">
        <w:t xml:space="preserve"> på kunskaper om sociala skillnader, HBTQ-frågor (homosexuella, bisexuella, trans- och queerpersoner), köns-, etnicitets-, tillgänglighets- och minoritetsfrågor. Preventivt arbete mot våld i nära relationer är ett prioriterat område</w:t>
      </w:r>
      <w:r>
        <w:t xml:space="preserve">, liksom </w:t>
      </w:r>
      <w:r w:rsidRPr="003777FA">
        <w:t>implementer</w:t>
      </w:r>
      <w:r>
        <w:t>ing av</w:t>
      </w:r>
      <w:r w:rsidRPr="003777FA">
        <w:t xml:space="preserve"> barnkonventionens innehåll</w:t>
      </w:r>
      <w:r>
        <w:t xml:space="preserve">. </w:t>
      </w:r>
    </w:p>
    <w:p w:rsidR="00395170" w:rsidRDefault="00395170" w:rsidP="000F6CB5">
      <w:pPr>
        <w:pStyle w:val="Brdtext"/>
        <w:numPr>
          <w:ilvl w:val="0"/>
          <w:numId w:val="34"/>
        </w:numPr>
      </w:pPr>
      <w:r>
        <w:t>Patienters delaktighet inom all vård och omsorg ska också beaktas.</w:t>
      </w:r>
    </w:p>
    <w:p w:rsidR="00395170" w:rsidRPr="00AD1982" w:rsidRDefault="00395170" w:rsidP="00395170">
      <w:pPr>
        <w:pStyle w:val="Brdtext"/>
        <w:spacing w:after="0"/>
        <w:rPr>
          <w:b/>
          <w:bCs/>
          <w:lang w:bidi="sv-SE"/>
        </w:rPr>
      </w:pPr>
      <w:r w:rsidRPr="00AD1982">
        <w:rPr>
          <w:b/>
          <w:bCs/>
          <w:lang w:bidi="sv-SE"/>
        </w:rPr>
        <w:t>Kompetensförsörjning</w:t>
      </w:r>
    </w:p>
    <w:p w:rsidR="00395170" w:rsidRPr="000F6CB5" w:rsidRDefault="00395170" w:rsidP="007B73AB">
      <w:pPr>
        <w:pStyle w:val="Brdtext"/>
        <w:numPr>
          <w:ilvl w:val="0"/>
          <w:numId w:val="35"/>
        </w:numPr>
        <w:rPr>
          <w:color w:val="000000" w:themeColor="text1"/>
        </w:rPr>
      </w:pPr>
      <w:r w:rsidRPr="000F6CB5">
        <w:rPr>
          <w:color w:val="000000" w:themeColor="text1"/>
        </w:rPr>
        <w:t xml:space="preserve">I detta dokument har fokus legat på åtgärder som direkt berör medborgarna. Kompetensförsörjningen för länets hälso- och sjukvårdsverksamheter kommer att vara av avgörande betydelse för möjligheterna att arbeta mot dessa mål. Därför bör den framtida kompetensförsörjningen hanteras i de gemensamma handlingsplanerna som blir nästa steg. </w:t>
      </w:r>
    </w:p>
    <w:p w:rsidR="00395170" w:rsidRPr="000F6CB5" w:rsidRDefault="00395170" w:rsidP="007B73AB">
      <w:pPr>
        <w:pStyle w:val="Brdtext"/>
        <w:numPr>
          <w:ilvl w:val="0"/>
          <w:numId w:val="35"/>
        </w:numPr>
        <w:rPr>
          <w:color w:val="000000" w:themeColor="text1"/>
        </w:rPr>
      </w:pPr>
      <w:r w:rsidRPr="000F6CB5">
        <w:rPr>
          <w:color w:val="000000" w:themeColor="text1"/>
        </w:rPr>
        <w:t xml:space="preserve">I målarbetet och remissvaren har behovet av höjd kompetens inom ex geriatrik, små diagnosgruppers sjukdomar, kunskap om andra kulturer och språk, forskning om anhörigas stöd och utveckling lyfts.  </w:t>
      </w:r>
    </w:p>
    <w:p w:rsidR="008F04E0" w:rsidRPr="008F04E0" w:rsidRDefault="008F04E0" w:rsidP="00AD1982">
      <w:pPr>
        <w:pStyle w:val="Brdtext"/>
        <w:spacing w:after="0"/>
        <w:rPr>
          <w:b/>
          <w:bCs/>
          <w:lang w:bidi="sv-SE"/>
        </w:rPr>
      </w:pPr>
      <w:r w:rsidRPr="008F04E0">
        <w:rPr>
          <w:b/>
          <w:bCs/>
          <w:lang w:bidi="sv-SE"/>
        </w:rPr>
        <w:t xml:space="preserve">Medborgarperspektiv </w:t>
      </w:r>
    </w:p>
    <w:p w:rsidR="008F04E0" w:rsidRPr="008F04E0" w:rsidRDefault="008F04E0" w:rsidP="008B78C8">
      <w:pPr>
        <w:pStyle w:val="Brdtext"/>
        <w:numPr>
          <w:ilvl w:val="0"/>
          <w:numId w:val="13"/>
        </w:numPr>
        <w:ind w:left="360"/>
        <w:rPr>
          <w:b/>
          <w:bCs/>
          <w:lang w:bidi="sv-SE"/>
        </w:rPr>
      </w:pPr>
      <w:r w:rsidRPr="008F04E0">
        <w:rPr>
          <w:bCs/>
          <w:iCs/>
          <w:lang w:bidi="sv-SE"/>
        </w:rPr>
        <w:t xml:space="preserve">Medborgarperspektivet </w:t>
      </w:r>
      <w:r w:rsidRPr="008F04E0">
        <w:rPr>
          <w:bCs/>
          <w:lang w:bidi="sv-SE"/>
        </w:rPr>
        <w:t xml:space="preserve">rör frågor som är övergripande och inkluderar olika perspektiv.  </w:t>
      </w:r>
      <w:r w:rsidRPr="008F04E0">
        <w:rPr>
          <w:b/>
          <w:bCs/>
          <w:lang w:bidi="sv-SE"/>
        </w:rPr>
        <w:t xml:space="preserve"> </w:t>
      </w:r>
    </w:p>
    <w:p w:rsidR="008F04E0" w:rsidRPr="008F04E0" w:rsidRDefault="008F04E0" w:rsidP="008B78C8">
      <w:pPr>
        <w:pStyle w:val="Brdtext"/>
        <w:numPr>
          <w:ilvl w:val="0"/>
          <w:numId w:val="11"/>
        </w:numPr>
        <w:ind w:left="360"/>
        <w:rPr>
          <w:bCs/>
          <w:lang w:bidi="sv-SE"/>
        </w:rPr>
      </w:pPr>
      <w:r w:rsidRPr="008F04E0">
        <w:rPr>
          <w:bCs/>
          <w:lang w:bidi="sv-SE"/>
        </w:rPr>
        <w:t>Viktigt att ta hänsyn till medborgares behov i utvecklingen av den framtida hälso- och sjukvårdspolitiken</w:t>
      </w:r>
    </w:p>
    <w:p w:rsidR="008F04E0" w:rsidRPr="008F04E0" w:rsidRDefault="008F04E0" w:rsidP="008B78C8">
      <w:pPr>
        <w:pStyle w:val="Brdtext"/>
        <w:numPr>
          <w:ilvl w:val="0"/>
          <w:numId w:val="11"/>
        </w:numPr>
        <w:ind w:left="360"/>
        <w:rPr>
          <w:bCs/>
          <w:lang w:bidi="sv-SE"/>
        </w:rPr>
      </w:pPr>
      <w:r w:rsidRPr="008F04E0">
        <w:rPr>
          <w:bCs/>
          <w:lang w:bidi="sv-SE"/>
        </w:rPr>
        <w:t xml:space="preserve">Använd teknik vid kontakt med medborgare, exempelvis e-panel. </w:t>
      </w:r>
    </w:p>
    <w:p w:rsidR="00395170" w:rsidRPr="000F6CB5" w:rsidRDefault="00395170" w:rsidP="00395170">
      <w:pPr>
        <w:pStyle w:val="Brdtext"/>
        <w:rPr>
          <w:b/>
          <w:color w:val="000000" w:themeColor="text1"/>
        </w:rPr>
      </w:pPr>
      <w:r w:rsidRPr="000F6CB5">
        <w:rPr>
          <w:b/>
          <w:color w:val="000000" w:themeColor="text1"/>
        </w:rPr>
        <w:t>Samarbete med andra organisationer</w:t>
      </w:r>
    </w:p>
    <w:p w:rsidR="00395170" w:rsidRPr="000F6CB5" w:rsidRDefault="00395170" w:rsidP="000F6CB5">
      <w:pPr>
        <w:pStyle w:val="Brdtext"/>
        <w:numPr>
          <w:ilvl w:val="0"/>
          <w:numId w:val="33"/>
        </w:numPr>
        <w:rPr>
          <w:bCs/>
          <w:lang w:bidi="sv-SE"/>
        </w:rPr>
      </w:pPr>
      <w:r w:rsidRPr="000F6CB5">
        <w:rPr>
          <w:bCs/>
          <w:lang w:bidi="sv-SE"/>
        </w:rPr>
        <w:t>Samarbete med andra organisationer är viktigt för att nå målen om förbättrad hälsa i länet. Samarbete med brukarorganisationer, myndigheter (FK, AF, Polisen mfl), branschorganisationer som LRF och andra ideella organisationer är därför viktig i det arbetet med handlingsplaner.</w:t>
      </w:r>
    </w:p>
    <w:p w:rsidR="008F04E0" w:rsidRPr="008F04E0" w:rsidRDefault="008F04E0" w:rsidP="00AD1982">
      <w:pPr>
        <w:pStyle w:val="Brdtext"/>
        <w:spacing w:after="0"/>
        <w:rPr>
          <w:b/>
          <w:bCs/>
          <w:lang w:bidi="sv-SE"/>
        </w:rPr>
      </w:pPr>
      <w:r w:rsidRPr="008F04E0">
        <w:rPr>
          <w:b/>
          <w:bCs/>
          <w:lang w:bidi="sv-SE"/>
        </w:rPr>
        <w:t>Stärka den politiska plattformen för prioritering och utveckling</w:t>
      </w:r>
    </w:p>
    <w:p w:rsidR="00FD389F" w:rsidRPr="00FD389F" w:rsidRDefault="008F04E0" w:rsidP="00FD389F">
      <w:pPr>
        <w:pStyle w:val="Brdtext"/>
        <w:numPr>
          <w:ilvl w:val="0"/>
          <w:numId w:val="12"/>
        </w:numPr>
        <w:ind w:left="360"/>
        <w:rPr>
          <w:bCs/>
          <w:lang w:bidi="sv-SE"/>
        </w:rPr>
      </w:pPr>
      <w:r w:rsidRPr="00FD389F">
        <w:rPr>
          <w:bCs/>
          <w:lang w:bidi="sv-SE"/>
        </w:rPr>
        <w:t>Kunskapsstyrning är en grund för arbetet med prioritering och utveckling</w:t>
      </w:r>
    </w:p>
    <w:p w:rsidR="00FD389F" w:rsidRPr="00FD389F" w:rsidRDefault="00FD389F" w:rsidP="00FD389F">
      <w:pPr>
        <w:pStyle w:val="Brdtext"/>
        <w:numPr>
          <w:ilvl w:val="0"/>
          <w:numId w:val="12"/>
        </w:numPr>
        <w:ind w:left="360"/>
        <w:rPr>
          <w:bCs/>
          <w:lang w:bidi="sv-SE"/>
        </w:rPr>
      </w:pPr>
      <w:r w:rsidRPr="00FD389F">
        <w:rPr>
          <w:bCs/>
          <w:lang w:bidi="sv-SE"/>
        </w:rPr>
        <w:t xml:space="preserve">Kunskapsstyrning består av alla styr- och ledningsprocesser som bidrar till att etablera en evidensbaserad praktik. För det krävs att det i länet finns strukturer för att inhämta, utveckla och sprida kunskap i syfte att tjänsterna bedrivs effektivt och med hög kvalitet för våra medborgare. </w:t>
      </w:r>
    </w:p>
    <w:p w:rsidR="008F04E0" w:rsidRPr="00FD389F" w:rsidRDefault="008F04E0" w:rsidP="008B78C8">
      <w:pPr>
        <w:pStyle w:val="Brdtext"/>
        <w:numPr>
          <w:ilvl w:val="0"/>
          <w:numId w:val="12"/>
        </w:numPr>
        <w:ind w:left="360"/>
        <w:rPr>
          <w:bCs/>
          <w:lang w:bidi="sv-SE"/>
        </w:rPr>
      </w:pPr>
      <w:r w:rsidRPr="00FD389F">
        <w:rPr>
          <w:bCs/>
          <w:lang w:bidi="sv-SE"/>
        </w:rPr>
        <w:t xml:space="preserve">Kunskapsstyrning är </w:t>
      </w:r>
      <w:r w:rsidR="00FD389F" w:rsidRPr="00FD389F">
        <w:rPr>
          <w:bCs/>
          <w:lang w:bidi="sv-SE"/>
        </w:rPr>
        <w:t xml:space="preserve">därför </w:t>
      </w:r>
      <w:r w:rsidRPr="00FD389F">
        <w:rPr>
          <w:bCs/>
          <w:lang w:bidi="sv-SE"/>
        </w:rPr>
        <w:t>ett viktigt samarbetsområde mellan landsting och kommun</w:t>
      </w:r>
    </w:p>
    <w:p w:rsidR="00395170" w:rsidRPr="00395170" w:rsidRDefault="008F04E0" w:rsidP="00395170">
      <w:pPr>
        <w:pStyle w:val="Brdtext"/>
        <w:numPr>
          <w:ilvl w:val="0"/>
          <w:numId w:val="12"/>
        </w:numPr>
        <w:ind w:left="360"/>
        <w:rPr>
          <w:bCs/>
          <w:lang w:bidi="sv-SE"/>
        </w:rPr>
      </w:pPr>
      <w:r w:rsidRPr="008F04E0">
        <w:rPr>
          <w:bCs/>
          <w:lang w:bidi="sv-SE"/>
        </w:rPr>
        <w:t>Prioritering</w:t>
      </w:r>
      <w:r w:rsidR="00FD389F">
        <w:rPr>
          <w:bCs/>
          <w:lang w:bidi="sv-SE"/>
        </w:rPr>
        <w:t xml:space="preserve">ar handlar också om att </w:t>
      </w:r>
      <w:r w:rsidRPr="008F04E0">
        <w:rPr>
          <w:bCs/>
          <w:lang w:bidi="sv-SE"/>
        </w:rPr>
        <w:t xml:space="preserve">koppla samman </w:t>
      </w:r>
      <w:r w:rsidR="00FD389F">
        <w:rPr>
          <w:bCs/>
          <w:lang w:bidi="sv-SE"/>
        </w:rPr>
        <w:t xml:space="preserve">kunskap </w:t>
      </w:r>
      <w:r w:rsidRPr="008F04E0">
        <w:rPr>
          <w:bCs/>
          <w:lang w:bidi="sv-SE"/>
        </w:rPr>
        <w:t>med etiska ställningstaganden.</w:t>
      </w:r>
    </w:p>
    <w:p w:rsidR="00395170" w:rsidRDefault="00395170" w:rsidP="00AD1982">
      <w:pPr>
        <w:pStyle w:val="Brdtext"/>
        <w:spacing w:after="0"/>
        <w:rPr>
          <w:b/>
          <w:bCs/>
          <w:lang w:bidi="sv-SE"/>
        </w:rPr>
      </w:pPr>
    </w:p>
    <w:p w:rsidR="00372612" w:rsidRPr="00AD1982" w:rsidRDefault="00372612" w:rsidP="00372612">
      <w:pPr>
        <w:pStyle w:val="Brdtext"/>
        <w:spacing w:after="0"/>
        <w:rPr>
          <w:b/>
          <w:bCs/>
          <w:lang w:bidi="sv-SE"/>
        </w:rPr>
      </w:pPr>
      <w:r w:rsidRPr="00AD1982">
        <w:rPr>
          <w:b/>
          <w:bCs/>
          <w:lang w:bidi="sv-SE"/>
        </w:rPr>
        <w:t>Uppföljning</w:t>
      </w:r>
    </w:p>
    <w:p w:rsidR="002348C5" w:rsidRDefault="00372612" w:rsidP="005F6F26">
      <w:pPr>
        <w:pStyle w:val="Brdtext"/>
      </w:pPr>
      <w:r w:rsidRPr="00396FE9">
        <w:t>I det fortsatta arbetet med att utveckla handlingsplaner är det viktigaste momentet att bestämma hur uppföljning av beslutade åtgärde</w:t>
      </w:r>
      <w:r w:rsidR="00395170">
        <w:t>r ska göras. I kapit</w:t>
      </w:r>
      <w:r w:rsidR="007B73AB">
        <w:t>el 4</w:t>
      </w:r>
      <w:r w:rsidR="00395170">
        <w:t xml:space="preserve"> </w:t>
      </w:r>
      <w:r w:rsidRPr="00396FE9">
        <w:t>finns en del reflektioner kring statistik och indikatorer som kan användas för att mäta att hälsan för länets befolkning förbättras.</w:t>
      </w:r>
    </w:p>
    <w:p w:rsidR="001E7AF5" w:rsidRDefault="002348C5" w:rsidP="002348C5">
      <w:pPr>
        <w:pStyle w:val="Rubrik1"/>
        <w:spacing w:after="600"/>
        <w:ind w:left="431" w:hanging="431"/>
      </w:pPr>
      <w:bookmarkStart w:id="19" w:name="_Toc433200266"/>
      <w:r>
        <w:lastRenderedPageBreak/>
        <w:t>Indikatorerna</w:t>
      </w:r>
      <w:bookmarkEnd w:id="19"/>
    </w:p>
    <w:p w:rsidR="001E7AF5" w:rsidRDefault="002348C5" w:rsidP="005F6F26">
      <w:pPr>
        <w:pStyle w:val="Brdtext"/>
      </w:pPr>
      <w:r>
        <w:t xml:space="preserve">Under seminariet 2013-10-16 gjordes en prioritering av de indikatorer som diskuterats under arbetet med detta måldokument, se bilaga 1 och 2 . Resultatet visar att </w:t>
      </w:r>
      <w:r w:rsidRPr="002348C5">
        <w:rPr>
          <w:b/>
        </w:rPr>
        <w:t xml:space="preserve">indikatorer för att mäta hälsoläget för barn och ungdomar prioriteras högst. </w:t>
      </w:r>
      <w:r>
        <w:t xml:space="preserve">Följande indikatorer prioriteras: </w:t>
      </w:r>
    </w:p>
    <w:p w:rsidR="002348C5" w:rsidRDefault="002348C5" w:rsidP="005F6F26">
      <w:pPr>
        <w:pStyle w:val="Brdtext"/>
      </w:pPr>
    </w:p>
    <w:p w:rsidR="002E59FF" w:rsidRDefault="002E59FF" w:rsidP="005F6F26">
      <w:pPr>
        <w:pStyle w:val="Brdtext"/>
      </w:pPr>
    </w:p>
    <w:p w:rsidR="002348C5" w:rsidRDefault="00045563" w:rsidP="005F6F26">
      <w:pPr>
        <w:pStyle w:val="Brdtext"/>
      </w:pPr>
      <w:r>
        <w:t xml:space="preserve">Behörighet till gymnasiet   </w:t>
      </w:r>
    </w:p>
    <w:p w:rsidR="00B47491" w:rsidRDefault="00B47491" w:rsidP="005F6F26">
      <w:pPr>
        <w:pStyle w:val="Brdtext"/>
      </w:pPr>
      <w:r>
        <w:t>Ö</w:t>
      </w:r>
      <w:r w:rsidR="00045563">
        <w:t xml:space="preserve">vervikt o fetman hos barn 4 år </w:t>
      </w:r>
    </w:p>
    <w:p w:rsidR="00B47491" w:rsidRDefault="00B47491" w:rsidP="005F6F26">
      <w:pPr>
        <w:pStyle w:val="Brdtext"/>
      </w:pPr>
      <w:r>
        <w:t>Nedsatt psykisk</w:t>
      </w:r>
      <w:r w:rsidR="00045563">
        <w:t xml:space="preserve">t välbefinnande hos unga vuxna </w:t>
      </w:r>
    </w:p>
    <w:p w:rsidR="00045563" w:rsidRDefault="00045563" w:rsidP="005F6F26">
      <w:pPr>
        <w:pStyle w:val="Brdtext"/>
      </w:pPr>
      <w:r>
        <w:t xml:space="preserve">Hälsosamtal i skolan </w:t>
      </w:r>
    </w:p>
    <w:p w:rsidR="00B47491" w:rsidRDefault="00B47491" w:rsidP="005F6F26">
      <w:pPr>
        <w:pStyle w:val="Brdtext"/>
      </w:pPr>
      <w:r>
        <w:t>Bar</w:t>
      </w:r>
      <w:r w:rsidR="00045563">
        <w:t xml:space="preserve">n i ekonomiskt utsatta hushåll </w:t>
      </w:r>
    </w:p>
    <w:p w:rsidR="00B47491" w:rsidRDefault="00B47491" w:rsidP="005F6F26">
      <w:pPr>
        <w:pStyle w:val="Brdtext"/>
      </w:pPr>
    </w:p>
    <w:p w:rsidR="00B47491" w:rsidRDefault="00B47491" w:rsidP="005F6F26">
      <w:pPr>
        <w:pStyle w:val="Brdtext"/>
      </w:pPr>
      <w:r>
        <w:t xml:space="preserve">Nedsatt psykiskt välbefinnande vuxna </w:t>
      </w:r>
    </w:p>
    <w:p w:rsidR="00045563" w:rsidRDefault="00045563" w:rsidP="00B47491">
      <w:pPr>
        <w:pStyle w:val="Brdtext"/>
      </w:pPr>
      <w:r>
        <w:t>Nedsatt psykiskt välbefinnande – funktionsnedsatt i jämförelse med övriga</w:t>
      </w:r>
    </w:p>
    <w:p w:rsidR="00B47491" w:rsidRDefault="00B47491" w:rsidP="00B47491">
      <w:pPr>
        <w:pStyle w:val="Brdtext"/>
      </w:pPr>
      <w:r>
        <w:t>Alkoholbruk vuxna</w:t>
      </w:r>
    </w:p>
    <w:p w:rsidR="00045563" w:rsidRDefault="00045563" w:rsidP="00B47491">
      <w:pPr>
        <w:pStyle w:val="Brdtext"/>
      </w:pPr>
      <w:r>
        <w:t>Sjukskrivningstalen</w:t>
      </w:r>
    </w:p>
    <w:p w:rsidR="00B47491" w:rsidRDefault="00B47491" w:rsidP="005F6F26">
      <w:pPr>
        <w:pStyle w:val="Brdtext"/>
      </w:pPr>
    </w:p>
    <w:p w:rsidR="00045563" w:rsidRDefault="00045563" w:rsidP="005F6F26">
      <w:pPr>
        <w:pStyle w:val="Brdtext"/>
      </w:pPr>
      <w:r>
        <w:t>Fallskador per 1000 invånare</w:t>
      </w:r>
    </w:p>
    <w:p w:rsidR="00045563" w:rsidRDefault="00045563" w:rsidP="005F6F26">
      <w:pPr>
        <w:pStyle w:val="Brdtext"/>
      </w:pPr>
      <w:r>
        <w:t xml:space="preserve">Stöd och hjälp efter stroke – oberoende efter 12 mån. </w:t>
      </w:r>
    </w:p>
    <w:p w:rsidR="00045563" w:rsidRDefault="00045563" w:rsidP="005F6F26">
      <w:pPr>
        <w:pStyle w:val="Brdtext"/>
      </w:pPr>
    </w:p>
    <w:p w:rsidR="00045563" w:rsidRPr="002348C5" w:rsidRDefault="00045563" w:rsidP="005F6F26">
      <w:pPr>
        <w:pStyle w:val="Brdtext"/>
      </w:pPr>
    </w:p>
    <w:p w:rsidR="002348C5" w:rsidRPr="005159C7" w:rsidRDefault="00045563" w:rsidP="005F6F26">
      <w:pPr>
        <w:pStyle w:val="Brdtext"/>
      </w:pPr>
      <w:r w:rsidRPr="005159C7">
        <w:t>Dessutom en önskan en indikator för sammanhållen vård – som inte finns idag:</w:t>
      </w:r>
    </w:p>
    <w:p w:rsidR="00045563" w:rsidRPr="005159C7" w:rsidRDefault="00045563" w:rsidP="005F6F26">
      <w:pPr>
        <w:pStyle w:val="Brdtext"/>
      </w:pPr>
      <w:r w:rsidRPr="005159C7">
        <w:t xml:space="preserve">Nöjdhetsindex både för barn/unga, mitt i livet och äldre – med riksjämförelse. </w:t>
      </w:r>
    </w:p>
    <w:p w:rsidR="002348C5" w:rsidRPr="005159C7" w:rsidRDefault="002348C5">
      <w:r w:rsidRPr="005159C7">
        <w:br w:type="page"/>
      </w:r>
    </w:p>
    <w:p w:rsidR="00F5059B" w:rsidRDefault="00F5059B"/>
    <w:p w:rsidR="00AD1982" w:rsidRDefault="00F5059B" w:rsidP="005F6F26">
      <w:pPr>
        <w:pStyle w:val="Brdtext"/>
      </w:pPr>
      <w:r>
        <w:tab/>
      </w:r>
      <w:r>
        <w:tab/>
      </w:r>
      <w:r>
        <w:tab/>
      </w:r>
      <w:r>
        <w:tab/>
      </w:r>
      <w:r w:rsidR="00AD1982">
        <w:tab/>
      </w:r>
      <w:r w:rsidR="00AD1982">
        <w:tab/>
      </w:r>
      <w:r w:rsidR="00AD1982" w:rsidRPr="00B27E20">
        <w:rPr>
          <w:b/>
        </w:rPr>
        <w:t>BILAGA 1</w:t>
      </w:r>
      <w:r>
        <w:tab/>
      </w:r>
    </w:p>
    <w:p w:rsidR="00F5059B" w:rsidRPr="00AD1982" w:rsidRDefault="00AD1982" w:rsidP="005F6F26">
      <w:pPr>
        <w:pStyle w:val="Brdtext"/>
        <w:rPr>
          <w:b/>
          <w:sz w:val="32"/>
        </w:rPr>
      </w:pPr>
      <w:r w:rsidRPr="00AD1982">
        <w:rPr>
          <w:b/>
          <w:sz w:val="32"/>
        </w:rPr>
        <w:t>HÄLSOLÄGET I LÄNET 2013</w:t>
      </w:r>
    </w:p>
    <w:p w:rsidR="00F5059B" w:rsidRDefault="00F5059B" w:rsidP="005F6F26">
      <w:pPr>
        <w:pStyle w:val="Brdtext"/>
      </w:pPr>
    </w:p>
    <w:p w:rsidR="00F5059B" w:rsidRPr="00F5059B" w:rsidRDefault="00F5059B" w:rsidP="00F5059B">
      <w:pPr>
        <w:pStyle w:val="Brdtext"/>
        <w:rPr>
          <w:lang w:bidi="sv-SE"/>
        </w:rPr>
      </w:pPr>
      <w:r w:rsidRPr="00F5059B">
        <w:rPr>
          <w:lang w:bidi="sv-SE"/>
        </w:rPr>
        <w:t xml:space="preserve">En kort sammanfattning av </w:t>
      </w:r>
      <w:r w:rsidRPr="00F5059B">
        <w:rPr>
          <w:b/>
          <w:lang w:bidi="sv-SE"/>
        </w:rPr>
        <w:t>hälsoläget</w:t>
      </w:r>
      <w:r w:rsidRPr="00F5059B">
        <w:rPr>
          <w:lang w:bidi="sv-SE"/>
        </w:rPr>
        <w:t xml:space="preserve"> visar: </w:t>
      </w:r>
    </w:p>
    <w:p w:rsidR="00F5059B" w:rsidRPr="00F5059B" w:rsidRDefault="00F5059B" w:rsidP="00F5059B">
      <w:pPr>
        <w:pStyle w:val="Brdtext"/>
        <w:numPr>
          <w:ilvl w:val="0"/>
          <w:numId w:val="24"/>
        </w:numPr>
        <w:rPr>
          <w:lang w:bidi="sv-SE"/>
        </w:rPr>
      </w:pPr>
      <w:r w:rsidRPr="00F5059B">
        <w:rPr>
          <w:lang w:bidi="sv-SE"/>
        </w:rPr>
        <w:t>Behörighet till gymnasiet – totalt i länet på riksnivå men stora variationer mellan kommunerna</w:t>
      </w:r>
    </w:p>
    <w:p w:rsidR="00F5059B" w:rsidRPr="00F5059B" w:rsidRDefault="00F5059B" w:rsidP="00F5059B">
      <w:pPr>
        <w:pStyle w:val="Brdtext"/>
        <w:numPr>
          <w:ilvl w:val="0"/>
          <w:numId w:val="24"/>
        </w:numPr>
        <w:rPr>
          <w:lang w:bidi="sv-SE"/>
        </w:rPr>
      </w:pPr>
      <w:r w:rsidRPr="00F5059B">
        <w:rPr>
          <w:lang w:bidi="sv-SE"/>
        </w:rPr>
        <w:t xml:space="preserve">Alkohol rökning och narkotika – länet bättre än riket men stora variationer mellan </w:t>
      </w:r>
      <w:r w:rsidR="00395170" w:rsidRPr="00F5059B">
        <w:rPr>
          <w:lang w:bidi="sv-SE"/>
        </w:rPr>
        <w:t>kommunerna</w:t>
      </w:r>
      <w:r w:rsidRPr="00F5059B">
        <w:rPr>
          <w:lang w:bidi="sv-SE"/>
        </w:rPr>
        <w:t xml:space="preserve"> och mellan könen</w:t>
      </w:r>
    </w:p>
    <w:p w:rsidR="00F5059B" w:rsidRDefault="00F5059B" w:rsidP="00FA4347">
      <w:pPr>
        <w:pStyle w:val="Brdtext"/>
        <w:numPr>
          <w:ilvl w:val="0"/>
          <w:numId w:val="24"/>
        </w:numPr>
        <w:rPr>
          <w:lang w:bidi="sv-SE"/>
        </w:rPr>
      </w:pPr>
      <w:r w:rsidRPr="00F5059B">
        <w:rPr>
          <w:lang w:bidi="sv-SE"/>
        </w:rPr>
        <w:t>Övervikt och fetman hos barn – riks</w:t>
      </w:r>
      <w:r w:rsidR="00F90035">
        <w:rPr>
          <w:lang w:bidi="sv-SE"/>
        </w:rPr>
        <w:t xml:space="preserve"> </w:t>
      </w:r>
      <w:r w:rsidRPr="00F5059B">
        <w:rPr>
          <w:lang w:bidi="sv-SE"/>
        </w:rPr>
        <w:t>jämförelse saknas, men variationen mellan kommunerna är stor</w:t>
      </w:r>
      <w:r w:rsidRPr="00F5059B">
        <w:rPr>
          <w:lang w:bidi="sv-SE"/>
        </w:rPr>
        <w:br/>
        <w:t>Övervikt och fetma hos vuxna – högre än riket och</w:t>
      </w:r>
      <w:r w:rsidR="00395170">
        <w:rPr>
          <w:lang w:bidi="sv-SE"/>
        </w:rPr>
        <w:t xml:space="preserve"> variationen mellan kommunerna </w:t>
      </w:r>
      <w:r w:rsidRPr="00F5059B">
        <w:rPr>
          <w:lang w:bidi="sv-SE"/>
        </w:rPr>
        <w:t>och mellan könen är stor</w:t>
      </w:r>
      <w:r w:rsidR="00FA4347">
        <w:rPr>
          <w:lang w:bidi="sv-SE"/>
        </w:rPr>
        <w:t xml:space="preserve">. </w:t>
      </w:r>
      <w:r w:rsidR="00FA4347">
        <w:rPr>
          <w:lang w:bidi="sv-SE"/>
        </w:rPr>
        <w:br/>
      </w:r>
      <w:r w:rsidR="00FA4347" w:rsidRPr="00333242">
        <w:rPr>
          <w:lang w:bidi="sv-SE"/>
        </w:rPr>
        <w:t>Nationellt ligger övervikt för 4-åringar på 10-15% och fetma 2-4%. Generellt ligger glesbygd/landsbygd h</w:t>
      </w:r>
      <w:r w:rsidR="00333242" w:rsidRPr="00333242">
        <w:rPr>
          <w:lang w:bidi="sv-SE"/>
        </w:rPr>
        <w:t>ögre i frekvens ä</w:t>
      </w:r>
      <w:r w:rsidR="00FA4347" w:rsidRPr="00333242">
        <w:rPr>
          <w:lang w:bidi="sv-SE"/>
        </w:rPr>
        <w:t xml:space="preserve">n stad och vidare mer </w:t>
      </w:r>
      <w:r w:rsidR="00333242" w:rsidRPr="00333242">
        <w:rPr>
          <w:lang w:bidi="sv-SE"/>
        </w:rPr>
        <w:t>ö</w:t>
      </w:r>
      <w:r w:rsidR="00FA4347" w:rsidRPr="00333242">
        <w:rPr>
          <w:lang w:bidi="sv-SE"/>
        </w:rPr>
        <w:t>vervikt/fetma i socioekonomiskt belastade områden liksom i om</w:t>
      </w:r>
      <w:r w:rsidR="00333242">
        <w:rPr>
          <w:lang w:bidi="sv-SE"/>
        </w:rPr>
        <w:t>r</w:t>
      </w:r>
      <w:r w:rsidR="00FA4347" w:rsidRPr="00333242">
        <w:rPr>
          <w:lang w:bidi="sv-SE"/>
        </w:rPr>
        <w:t>åden med låg utbildningsnivå</w:t>
      </w:r>
      <w:r w:rsidR="00333242" w:rsidRPr="00333242">
        <w:rPr>
          <w:lang w:bidi="sv-SE"/>
        </w:rPr>
        <w:t>. Flickor högre än pojkar. Jä</w:t>
      </w:r>
      <w:r w:rsidR="00FA4347" w:rsidRPr="00333242">
        <w:rPr>
          <w:lang w:bidi="sv-SE"/>
        </w:rPr>
        <w:t>mtlandsbarnen s</w:t>
      </w:r>
      <w:r w:rsidR="00333242" w:rsidRPr="00333242">
        <w:rPr>
          <w:lang w:bidi="sv-SE"/>
        </w:rPr>
        <w:t>t</w:t>
      </w:r>
      <w:r w:rsidR="00FA4347" w:rsidRPr="00333242">
        <w:rPr>
          <w:lang w:bidi="sv-SE"/>
        </w:rPr>
        <w:t>icker inte ut i j</w:t>
      </w:r>
      <w:r w:rsidR="00333242" w:rsidRPr="00333242">
        <w:rPr>
          <w:lang w:bidi="sv-SE"/>
        </w:rPr>
        <w:t>ämfö</w:t>
      </w:r>
      <w:r w:rsidR="00FA4347" w:rsidRPr="00333242">
        <w:rPr>
          <w:lang w:bidi="sv-SE"/>
        </w:rPr>
        <w:t>re</w:t>
      </w:r>
      <w:r w:rsidR="00333242">
        <w:rPr>
          <w:lang w:bidi="sv-SE"/>
        </w:rPr>
        <w:t>l</w:t>
      </w:r>
      <w:r w:rsidR="00FA4347" w:rsidRPr="00333242">
        <w:rPr>
          <w:lang w:bidi="sv-SE"/>
        </w:rPr>
        <w:t>se med andra landsting.</w:t>
      </w:r>
      <w:r w:rsidR="00333242" w:rsidRPr="00333242">
        <w:rPr>
          <w:lang w:bidi="sv-SE"/>
        </w:rPr>
        <w:t xml:space="preserve"> Presenterade</w:t>
      </w:r>
      <w:r w:rsidR="00FA4347" w:rsidRPr="00333242">
        <w:rPr>
          <w:lang w:bidi="sv-SE"/>
        </w:rPr>
        <w:t xml:space="preserve"> kommunsiffror ska man tolka </w:t>
      </w:r>
      <w:r w:rsidR="00333242" w:rsidRPr="00333242">
        <w:rPr>
          <w:lang w:bidi="sv-SE"/>
        </w:rPr>
        <w:t>med mycket stor försiktighet utifrån att det ä</w:t>
      </w:r>
      <w:r w:rsidR="00FA4347" w:rsidRPr="00333242">
        <w:rPr>
          <w:lang w:bidi="sv-SE"/>
        </w:rPr>
        <w:t>r m</w:t>
      </w:r>
      <w:r w:rsidR="00333242" w:rsidRPr="00333242">
        <w:rPr>
          <w:lang w:bidi="sv-SE"/>
        </w:rPr>
        <w:t>ycket</w:t>
      </w:r>
      <w:r w:rsidR="00FA4347" w:rsidRPr="00333242">
        <w:rPr>
          <w:lang w:bidi="sv-SE"/>
        </w:rPr>
        <w:t xml:space="preserve"> små barnantal i våra små kommuner - slumpen styr då ett barn betyder m</w:t>
      </w:r>
      <w:r w:rsidR="00333242" w:rsidRPr="00333242">
        <w:rPr>
          <w:lang w:bidi="sv-SE"/>
        </w:rPr>
        <w:t>ycket</w:t>
      </w:r>
      <w:r w:rsidR="00FA4347" w:rsidRPr="00333242">
        <w:rPr>
          <w:lang w:bidi="sv-SE"/>
        </w:rPr>
        <w:t xml:space="preserve"> i %.</w:t>
      </w:r>
    </w:p>
    <w:p w:rsidR="00F5059B" w:rsidRPr="00F5059B" w:rsidRDefault="00F5059B" w:rsidP="00F5059B">
      <w:pPr>
        <w:pStyle w:val="Brdtext"/>
        <w:numPr>
          <w:ilvl w:val="0"/>
          <w:numId w:val="24"/>
        </w:numPr>
        <w:rPr>
          <w:lang w:bidi="sv-SE"/>
        </w:rPr>
      </w:pPr>
      <w:r w:rsidRPr="00F5059B">
        <w:rPr>
          <w:lang w:bidi="sv-SE"/>
        </w:rPr>
        <w:t>Aborter hos unga – högre än riket och stora variationer mellan kommunerna</w:t>
      </w:r>
    </w:p>
    <w:p w:rsidR="00F5059B" w:rsidRPr="00F5059B" w:rsidRDefault="00F5059B" w:rsidP="00F5059B">
      <w:pPr>
        <w:pStyle w:val="Brdtext"/>
        <w:numPr>
          <w:ilvl w:val="0"/>
          <w:numId w:val="24"/>
        </w:numPr>
        <w:rPr>
          <w:lang w:bidi="sv-SE"/>
        </w:rPr>
      </w:pPr>
      <w:r w:rsidRPr="00F5059B">
        <w:rPr>
          <w:lang w:bidi="sv-SE"/>
        </w:rPr>
        <w:t xml:space="preserve">Nedsatt psykiskt välbefinnande hos vuxna är mindre förekommande hör än i riket, men hos unga vuxna förekommer detta i högre grad än i riket och med variation mellan kommunerna. </w:t>
      </w:r>
    </w:p>
    <w:p w:rsidR="00F5059B" w:rsidRPr="00F5059B" w:rsidRDefault="00F5059B" w:rsidP="00F5059B">
      <w:pPr>
        <w:pStyle w:val="Brdtext"/>
        <w:numPr>
          <w:ilvl w:val="0"/>
          <w:numId w:val="24"/>
        </w:numPr>
        <w:rPr>
          <w:lang w:bidi="sv-SE"/>
        </w:rPr>
      </w:pPr>
      <w:r w:rsidRPr="00F5059B">
        <w:rPr>
          <w:lang w:bidi="sv-SE"/>
        </w:rPr>
        <w:t xml:space="preserve">Funktionsnedsatta i länet har i högre grand nedsatt psykiskt välbefinnande och uppskattar sitt hälsotillstånd som bra i lägre grad än övriga medborgare i länet. </w:t>
      </w:r>
    </w:p>
    <w:p w:rsidR="00F5059B" w:rsidRPr="00F5059B" w:rsidRDefault="00F5059B" w:rsidP="00F5059B">
      <w:pPr>
        <w:pStyle w:val="Brdtext"/>
        <w:numPr>
          <w:ilvl w:val="0"/>
          <w:numId w:val="24"/>
        </w:numPr>
        <w:rPr>
          <w:lang w:bidi="sv-SE"/>
        </w:rPr>
      </w:pPr>
      <w:r w:rsidRPr="00F5059B">
        <w:rPr>
          <w:lang w:bidi="sv-SE"/>
        </w:rPr>
        <w:t xml:space="preserve">Länets själmordsstatistik är också högre än i riket. </w:t>
      </w:r>
    </w:p>
    <w:p w:rsidR="00F5059B" w:rsidRPr="00F5059B" w:rsidRDefault="00F5059B" w:rsidP="00F5059B">
      <w:pPr>
        <w:pStyle w:val="Brdtext"/>
        <w:numPr>
          <w:ilvl w:val="0"/>
          <w:numId w:val="24"/>
        </w:numPr>
        <w:rPr>
          <w:lang w:bidi="sv-SE"/>
        </w:rPr>
      </w:pPr>
      <w:r w:rsidRPr="00F5059B">
        <w:rPr>
          <w:lang w:bidi="sv-SE"/>
        </w:rPr>
        <w:t>Äldre är mer nöjda med sin hemtjänst än riket, medan de är mindre nöjda med särskilda boende</w:t>
      </w:r>
      <w:r w:rsidR="00F90035">
        <w:rPr>
          <w:lang w:bidi="sv-SE"/>
        </w:rPr>
        <w:t>n</w:t>
      </w:r>
      <w:r w:rsidRPr="00F5059B">
        <w:rPr>
          <w:lang w:bidi="sv-SE"/>
        </w:rPr>
        <w:t xml:space="preserve">. </w:t>
      </w:r>
    </w:p>
    <w:p w:rsidR="00F5059B" w:rsidRPr="00F5059B" w:rsidRDefault="00F5059B" w:rsidP="00F5059B">
      <w:pPr>
        <w:pStyle w:val="Brdtext"/>
        <w:numPr>
          <w:ilvl w:val="0"/>
          <w:numId w:val="24"/>
        </w:numPr>
        <w:rPr>
          <w:lang w:bidi="sv-SE"/>
        </w:rPr>
      </w:pPr>
      <w:r w:rsidRPr="00F5059B">
        <w:rPr>
          <w:lang w:bidi="sv-SE"/>
        </w:rPr>
        <w:t>Fallskador i länet är lägre än riket i de flesta kommuner.</w:t>
      </w:r>
    </w:p>
    <w:p w:rsidR="00F5059B" w:rsidRPr="00F5059B" w:rsidRDefault="00F5059B" w:rsidP="00F5059B">
      <w:pPr>
        <w:pStyle w:val="Brdtext"/>
        <w:numPr>
          <w:ilvl w:val="0"/>
          <w:numId w:val="24"/>
        </w:numPr>
        <w:rPr>
          <w:lang w:bidi="sv-SE"/>
        </w:rPr>
      </w:pPr>
      <w:r w:rsidRPr="00F5059B">
        <w:rPr>
          <w:lang w:bidi="sv-SE"/>
        </w:rPr>
        <w:t xml:space="preserve">Äldres psykiska hälsa mätt genom hur många som har tre eller fler psykofarmaka är lägre i länet än i riket. </w:t>
      </w:r>
    </w:p>
    <w:p w:rsidR="00F5059B" w:rsidRDefault="00F5059B" w:rsidP="005F6F26">
      <w:pPr>
        <w:pStyle w:val="Brdtext"/>
      </w:pPr>
      <w:r>
        <w:t>För djupare analyser och kommunvisa detaljer se nästa sida</w:t>
      </w:r>
      <w:r w:rsidR="00F90035">
        <w:t>.</w:t>
      </w:r>
    </w:p>
    <w:p w:rsidR="00F5059B" w:rsidRDefault="00F5059B">
      <w:r>
        <w:br w:type="page"/>
      </w:r>
    </w:p>
    <w:p w:rsidR="00F5059B" w:rsidRDefault="00F5059B" w:rsidP="005F6F26">
      <w:pPr>
        <w:pStyle w:val="Brdtext"/>
        <w:sectPr w:rsidR="00F5059B" w:rsidSect="000F6CB5">
          <w:headerReference w:type="default" r:id="rId20"/>
          <w:footerReference w:type="default" r:id="rId21"/>
          <w:pgSz w:w="11906" w:h="16838" w:code="9"/>
          <w:pgMar w:top="1611" w:right="566" w:bottom="1021" w:left="1418" w:header="794" w:footer="624" w:gutter="0"/>
          <w:cols w:space="720"/>
          <w:titlePg/>
          <w:docGrid w:linePitch="360"/>
        </w:sectPr>
      </w:pPr>
    </w:p>
    <w:p w:rsidR="00F5059B" w:rsidRDefault="00F5059B" w:rsidP="005F6F26">
      <w:pPr>
        <w:pStyle w:val="Brdtext"/>
      </w:pPr>
    </w:p>
    <w:p w:rsidR="00C03900" w:rsidRDefault="00C03900" w:rsidP="00C03900">
      <w:pPr>
        <w:pStyle w:val="Slutkommenta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7088"/>
        <w:gridCol w:w="4394"/>
      </w:tblGrid>
      <w:tr w:rsidR="00C03900" w:rsidRPr="00D352A2" w:rsidTr="00E414DF">
        <w:tc>
          <w:tcPr>
            <w:tcW w:w="3652" w:type="dxa"/>
            <w:vAlign w:val="center"/>
          </w:tcPr>
          <w:p w:rsidR="00C03900" w:rsidRPr="00D352A2" w:rsidRDefault="00C03900" w:rsidP="00E414DF">
            <w:pPr>
              <w:pStyle w:val="Slutkommentar"/>
              <w:rPr>
                <w:b/>
              </w:rPr>
            </w:pPr>
            <w:r w:rsidRPr="00D352A2">
              <w:rPr>
                <w:b/>
              </w:rPr>
              <w:t>Indikator</w:t>
            </w:r>
          </w:p>
        </w:tc>
        <w:tc>
          <w:tcPr>
            <w:tcW w:w="7088" w:type="dxa"/>
            <w:vAlign w:val="center"/>
          </w:tcPr>
          <w:p w:rsidR="00C03900" w:rsidRPr="00D352A2" w:rsidRDefault="00C03900" w:rsidP="00E414DF">
            <w:pPr>
              <w:pStyle w:val="Slutkommentar"/>
              <w:rPr>
                <w:b/>
              </w:rPr>
            </w:pPr>
            <w:r w:rsidRPr="00D352A2">
              <w:rPr>
                <w:b/>
              </w:rPr>
              <w:t>Förklaring</w:t>
            </w:r>
          </w:p>
        </w:tc>
        <w:tc>
          <w:tcPr>
            <w:tcW w:w="4394" w:type="dxa"/>
            <w:vAlign w:val="center"/>
          </w:tcPr>
          <w:p w:rsidR="00C03900" w:rsidRPr="00D352A2" w:rsidRDefault="00C03900" w:rsidP="00E414DF">
            <w:pPr>
              <w:pStyle w:val="Slutkommentar"/>
              <w:rPr>
                <w:b/>
              </w:rPr>
            </w:pPr>
            <w:r w:rsidRPr="00D352A2">
              <w:rPr>
                <w:b/>
              </w:rPr>
              <w:t>Källa</w:t>
            </w:r>
          </w:p>
        </w:tc>
      </w:tr>
      <w:tr w:rsidR="00C03900" w:rsidRPr="00D352A2" w:rsidTr="00E414DF">
        <w:tc>
          <w:tcPr>
            <w:tcW w:w="3652" w:type="dxa"/>
            <w:vAlign w:val="center"/>
          </w:tcPr>
          <w:p w:rsidR="00C03900" w:rsidRPr="00D352A2" w:rsidRDefault="00C03900" w:rsidP="00E414DF">
            <w:pPr>
              <w:pStyle w:val="Slutkommentar"/>
            </w:pPr>
            <w:r w:rsidRPr="00D352A2">
              <w:t>Behöriga till gymnasieskolan</w:t>
            </w:r>
          </w:p>
        </w:tc>
        <w:tc>
          <w:tcPr>
            <w:tcW w:w="7088" w:type="dxa"/>
            <w:vAlign w:val="center"/>
          </w:tcPr>
          <w:p w:rsidR="00C03900" w:rsidRPr="00D352A2" w:rsidRDefault="00C03900" w:rsidP="00E414DF">
            <w:pPr>
              <w:pStyle w:val="Slutkommentar"/>
            </w:pPr>
            <w:r w:rsidRPr="00D352A2">
              <w:t xml:space="preserve">Behöriga till gymnasieskolan 2011 </w:t>
            </w:r>
          </w:p>
        </w:tc>
        <w:tc>
          <w:tcPr>
            <w:tcW w:w="4394" w:type="dxa"/>
            <w:vAlign w:val="center"/>
          </w:tcPr>
          <w:p w:rsidR="00C03900" w:rsidRPr="00D352A2" w:rsidRDefault="00C03900" w:rsidP="00E414DF">
            <w:pPr>
              <w:pStyle w:val="Slutkommentar"/>
            </w:pPr>
            <w:r w:rsidRPr="00D352A2">
              <w:rPr>
                <w:lang w:val="en-US"/>
              </w:rPr>
              <w:t>SCB (ursprungligen Skolverket)</w:t>
            </w:r>
          </w:p>
        </w:tc>
      </w:tr>
      <w:tr w:rsidR="00C03900" w:rsidRPr="00D352A2" w:rsidTr="00E414DF">
        <w:tc>
          <w:tcPr>
            <w:tcW w:w="3652" w:type="dxa"/>
            <w:vAlign w:val="center"/>
          </w:tcPr>
          <w:p w:rsidR="00C03900" w:rsidRPr="00D352A2" w:rsidRDefault="00C03900" w:rsidP="00E414DF">
            <w:pPr>
              <w:pStyle w:val="Slutkommentar"/>
            </w:pPr>
            <w:r w:rsidRPr="00D352A2">
              <w:t xml:space="preserve">Arbetslöshet </w:t>
            </w:r>
          </w:p>
        </w:tc>
        <w:tc>
          <w:tcPr>
            <w:tcW w:w="7088" w:type="dxa"/>
            <w:vAlign w:val="center"/>
          </w:tcPr>
          <w:p w:rsidR="00C03900" w:rsidRPr="00D352A2" w:rsidRDefault="00C03900" w:rsidP="00E414DF">
            <w:pPr>
              <w:pStyle w:val="Slutkommentar"/>
            </w:pPr>
            <w:r w:rsidRPr="00D352A2">
              <w:t>Andel öppet arbetslösa, årsmedeltal 2011</w:t>
            </w:r>
          </w:p>
        </w:tc>
        <w:tc>
          <w:tcPr>
            <w:tcW w:w="4394" w:type="dxa"/>
            <w:vAlign w:val="center"/>
          </w:tcPr>
          <w:p w:rsidR="00C03900" w:rsidRPr="00D352A2" w:rsidRDefault="00C03900" w:rsidP="00E414DF">
            <w:pPr>
              <w:pStyle w:val="Slutkommentar"/>
            </w:pPr>
            <w:r w:rsidRPr="00D352A2">
              <w:t xml:space="preserve">Arbetsförmedlingen </w:t>
            </w:r>
          </w:p>
        </w:tc>
      </w:tr>
      <w:tr w:rsidR="00C03900" w:rsidRPr="00D352A2" w:rsidTr="00E414DF">
        <w:tc>
          <w:tcPr>
            <w:tcW w:w="3652" w:type="dxa"/>
            <w:vAlign w:val="center"/>
          </w:tcPr>
          <w:p w:rsidR="00C03900" w:rsidRPr="00D352A2" w:rsidRDefault="00C03900" w:rsidP="00E414DF">
            <w:pPr>
              <w:pStyle w:val="Slutkommentar"/>
            </w:pPr>
            <w:r w:rsidRPr="00D352A2">
              <w:t>Barn i ekonomiskt utsatta hushåll</w:t>
            </w:r>
          </w:p>
        </w:tc>
        <w:tc>
          <w:tcPr>
            <w:tcW w:w="7088" w:type="dxa"/>
            <w:vAlign w:val="center"/>
          </w:tcPr>
          <w:p w:rsidR="00C03900" w:rsidRPr="00D352A2" w:rsidRDefault="00C03900" w:rsidP="00E414DF">
            <w:pPr>
              <w:pStyle w:val="Slutkommentar"/>
            </w:pPr>
            <w:r w:rsidRPr="00D352A2">
              <w:t>Andel barn i ekonomiskt utsatta hushåll, 2010</w:t>
            </w:r>
          </w:p>
        </w:tc>
        <w:tc>
          <w:tcPr>
            <w:tcW w:w="4394" w:type="dxa"/>
            <w:vAlign w:val="center"/>
          </w:tcPr>
          <w:p w:rsidR="00C03900" w:rsidRPr="00D44C80" w:rsidRDefault="00C03900" w:rsidP="00E414DF">
            <w:pPr>
              <w:pStyle w:val="Slutkommentar"/>
              <w:rPr>
                <w:sz w:val="16"/>
              </w:rPr>
            </w:pPr>
            <w:r w:rsidRPr="00D44C80">
              <w:rPr>
                <w:sz w:val="16"/>
              </w:rPr>
              <w:t>SCB, Inkomst- och taxeringsregistret (Folkhälsodata, FHI)</w:t>
            </w:r>
          </w:p>
        </w:tc>
      </w:tr>
      <w:tr w:rsidR="00C03900" w:rsidRPr="00D352A2" w:rsidTr="00E414DF">
        <w:tc>
          <w:tcPr>
            <w:tcW w:w="3652" w:type="dxa"/>
            <w:vAlign w:val="center"/>
          </w:tcPr>
          <w:p w:rsidR="00C03900" w:rsidRPr="00D352A2" w:rsidRDefault="00C03900" w:rsidP="00E414DF">
            <w:pPr>
              <w:pStyle w:val="Slutkommentar"/>
            </w:pPr>
            <w:r w:rsidRPr="00D352A2">
              <w:t>Rökning åk 9</w:t>
            </w:r>
          </w:p>
        </w:tc>
        <w:tc>
          <w:tcPr>
            <w:tcW w:w="7088" w:type="dxa"/>
            <w:vAlign w:val="center"/>
          </w:tcPr>
          <w:p w:rsidR="00C03900" w:rsidRPr="00D352A2" w:rsidRDefault="00C03900" w:rsidP="00E414DF">
            <w:pPr>
              <w:pStyle w:val="Slutkommentar"/>
            </w:pPr>
            <w:r w:rsidRPr="00D352A2">
              <w:t>Andel som röker varje dag eller nästan varje dag, årskurs 9, 2012</w:t>
            </w:r>
          </w:p>
        </w:tc>
        <w:tc>
          <w:tcPr>
            <w:tcW w:w="4394" w:type="dxa"/>
            <w:vAlign w:val="center"/>
          </w:tcPr>
          <w:p w:rsidR="00C03900" w:rsidRPr="00D352A2" w:rsidRDefault="00C03900" w:rsidP="00E414DF">
            <w:pPr>
              <w:pStyle w:val="Slutkommentar"/>
            </w:pPr>
            <w:r w:rsidRPr="00D352A2">
              <w:t>CAN 2012</w:t>
            </w:r>
          </w:p>
        </w:tc>
      </w:tr>
      <w:tr w:rsidR="00C03900" w:rsidRPr="00D352A2" w:rsidTr="00E414DF">
        <w:tc>
          <w:tcPr>
            <w:tcW w:w="3652" w:type="dxa"/>
            <w:vAlign w:val="center"/>
          </w:tcPr>
          <w:p w:rsidR="00C03900" w:rsidRPr="00D352A2" w:rsidRDefault="00C03900" w:rsidP="00E414DF">
            <w:pPr>
              <w:pStyle w:val="Slutkommentar"/>
            </w:pPr>
            <w:r w:rsidRPr="00D352A2">
              <w:t>Rökning vuxna</w:t>
            </w:r>
          </w:p>
        </w:tc>
        <w:tc>
          <w:tcPr>
            <w:tcW w:w="7088" w:type="dxa"/>
            <w:vAlign w:val="center"/>
          </w:tcPr>
          <w:p w:rsidR="00C03900" w:rsidRPr="00D352A2" w:rsidRDefault="00C03900" w:rsidP="00E414DF">
            <w:pPr>
              <w:pStyle w:val="Slutkommentar"/>
            </w:pPr>
            <w:r w:rsidRPr="00D352A2">
              <w:t>Andel som uppgett att de röker dagligen, 2010</w:t>
            </w:r>
          </w:p>
        </w:tc>
        <w:tc>
          <w:tcPr>
            <w:tcW w:w="4394" w:type="dxa"/>
            <w:vAlign w:val="center"/>
          </w:tcPr>
          <w:p w:rsidR="00C03900" w:rsidRPr="00D352A2" w:rsidRDefault="00C03900" w:rsidP="00E414DF">
            <w:pPr>
              <w:pStyle w:val="Slutkommentar"/>
            </w:pPr>
            <w:r w:rsidRPr="00D352A2">
              <w:t>Hälsa på lika villkor 2010</w:t>
            </w:r>
          </w:p>
        </w:tc>
      </w:tr>
      <w:tr w:rsidR="00C03900" w:rsidRPr="00D352A2" w:rsidTr="00E414DF">
        <w:tc>
          <w:tcPr>
            <w:tcW w:w="3652" w:type="dxa"/>
            <w:vAlign w:val="center"/>
          </w:tcPr>
          <w:p w:rsidR="00C03900" w:rsidRPr="00D352A2" w:rsidRDefault="00C03900" w:rsidP="00E414DF">
            <w:pPr>
              <w:pStyle w:val="Slutkommentar"/>
            </w:pPr>
            <w:r w:rsidRPr="00D352A2">
              <w:t xml:space="preserve">Alkoholbruk årskurs 9 </w:t>
            </w:r>
          </w:p>
        </w:tc>
        <w:tc>
          <w:tcPr>
            <w:tcW w:w="7088" w:type="dxa"/>
            <w:vAlign w:val="center"/>
          </w:tcPr>
          <w:p w:rsidR="00C03900" w:rsidRPr="00D352A2" w:rsidRDefault="00C03900" w:rsidP="00E414DF">
            <w:pPr>
              <w:pStyle w:val="Slutkommentar"/>
            </w:pPr>
            <w:r w:rsidRPr="00D352A2">
              <w:t>Andel som intensivkonsumerat alkohol 1 gång/mån eller oftare, årskurs 9, 2012</w:t>
            </w:r>
          </w:p>
        </w:tc>
        <w:tc>
          <w:tcPr>
            <w:tcW w:w="4394" w:type="dxa"/>
            <w:vAlign w:val="center"/>
          </w:tcPr>
          <w:p w:rsidR="00C03900" w:rsidRPr="00D352A2" w:rsidRDefault="00C03900" w:rsidP="00E414DF">
            <w:pPr>
              <w:pStyle w:val="Slutkommentar"/>
            </w:pPr>
            <w:r w:rsidRPr="00D352A2">
              <w:t>CAN 2012</w:t>
            </w:r>
          </w:p>
        </w:tc>
      </w:tr>
      <w:tr w:rsidR="00C03900" w:rsidRPr="00D352A2" w:rsidTr="00E414DF">
        <w:tc>
          <w:tcPr>
            <w:tcW w:w="3652" w:type="dxa"/>
            <w:vAlign w:val="center"/>
          </w:tcPr>
          <w:p w:rsidR="00C03900" w:rsidRPr="00D352A2" w:rsidRDefault="00C03900" w:rsidP="00E414DF">
            <w:pPr>
              <w:pStyle w:val="Slutkommentar"/>
            </w:pPr>
            <w:r w:rsidRPr="00D352A2">
              <w:t>Alkoholbruk vuxna</w:t>
            </w:r>
          </w:p>
        </w:tc>
        <w:tc>
          <w:tcPr>
            <w:tcW w:w="7088" w:type="dxa"/>
            <w:vAlign w:val="center"/>
          </w:tcPr>
          <w:p w:rsidR="00C03900" w:rsidRPr="00D352A2" w:rsidRDefault="00C03900" w:rsidP="00E414DF">
            <w:pPr>
              <w:pStyle w:val="Slutkommentar"/>
            </w:pPr>
            <w:r w:rsidRPr="00D352A2">
              <w:t>Andel riskkonsumenter</w:t>
            </w:r>
            <w:r>
              <w:rPr>
                <w:rStyle w:val="Fotnotsreferens"/>
              </w:rPr>
              <w:footnoteReference w:id="1"/>
            </w:r>
            <w:r w:rsidRPr="00D352A2">
              <w:t>, 16-84 år, åldersstandardiserat, 2010</w:t>
            </w:r>
          </w:p>
        </w:tc>
        <w:tc>
          <w:tcPr>
            <w:tcW w:w="4394" w:type="dxa"/>
            <w:vAlign w:val="center"/>
          </w:tcPr>
          <w:p w:rsidR="00C03900" w:rsidRPr="00D352A2" w:rsidRDefault="00C03900" w:rsidP="00E414DF">
            <w:pPr>
              <w:pStyle w:val="Slutkommentar"/>
            </w:pPr>
            <w:r w:rsidRPr="00D352A2">
              <w:t>Hälsa på lika villkor 2010</w:t>
            </w:r>
          </w:p>
        </w:tc>
      </w:tr>
      <w:tr w:rsidR="00C03900" w:rsidRPr="00D352A2" w:rsidTr="00E414DF">
        <w:tc>
          <w:tcPr>
            <w:tcW w:w="3652" w:type="dxa"/>
            <w:vAlign w:val="center"/>
          </w:tcPr>
          <w:p w:rsidR="00C03900" w:rsidRPr="00D352A2" w:rsidRDefault="00C03900" w:rsidP="00E414DF">
            <w:pPr>
              <w:pStyle w:val="Slutkommentar"/>
            </w:pPr>
            <w:r w:rsidRPr="00D352A2">
              <w:t>Narkotika</w:t>
            </w:r>
          </w:p>
        </w:tc>
        <w:tc>
          <w:tcPr>
            <w:tcW w:w="7088" w:type="dxa"/>
            <w:vAlign w:val="center"/>
          </w:tcPr>
          <w:p w:rsidR="00C03900" w:rsidRPr="00D352A2" w:rsidRDefault="00C03900" w:rsidP="00E414DF">
            <w:pPr>
              <w:pStyle w:val="Slutkommentar"/>
            </w:pPr>
            <w:r w:rsidRPr="00D352A2">
              <w:t xml:space="preserve">Andel som uppgett att de någon gång har använt narkotika </w:t>
            </w:r>
          </w:p>
        </w:tc>
        <w:tc>
          <w:tcPr>
            <w:tcW w:w="4394" w:type="dxa"/>
            <w:vAlign w:val="center"/>
          </w:tcPr>
          <w:p w:rsidR="00C03900" w:rsidRPr="00D352A2" w:rsidRDefault="00C03900" w:rsidP="00E414DF">
            <w:pPr>
              <w:pStyle w:val="Slutkommentar"/>
            </w:pPr>
            <w:r w:rsidRPr="00D352A2">
              <w:rPr>
                <w:lang w:val="en-US"/>
              </w:rPr>
              <w:t>CAN 2012</w:t>
            </w:r>
          </w:p>
        </w:tc>
      </w:tr>
      <w:tr w:rsidR="00C03900" w:rsidRPr="00D352A2" w:rsidTr="00E414DF">
        <w:tc>
          <w:tcPr>
            <w:tcW w:w="3652" w:type="dxa"/>
            <w:vAlign w:val="center"/>
          </w:tcPr>
          <w:p w:rsidR="00C03900" w:rsidRPr="00D352A2" w:rsidRDefault="00C03900" w:rsidP="00E414DF">
            <w:pPr>
              <w:pStyle w:val="Slutkommentar"/>
            </w:pPr>
            <w:r w:rsidRPr="00D352A2">
              <w:t>Övervikt/fetma  vuxna</w:t>
            </w:r>
          </w:p>
        </w:tc>
        <w:tc>
          <w:tcPr>
            <w:tcW w:w="7088" w:type="dxa"/>
            <w:vAlign w:val="center"/>
          </w:tcPr>
          <w:p w:rsidR="00C03900" w:rsidRPr="00D352A2" w:rsidRDefault="00C03900" w:rsidP="00E414DF">
            <w:pPr>
              <w:pStyle w:val="Slutkommentar"/>
            </w:pPr>
            <w:r w:rsidRPr="00D352A2">
              <w:t>Andel med övervikt/fetma 16-84 år, åldersstandardiserat, 2010</w:t>
            </w:r>
            <w:r>
              <w:rPr>
                <w:rStyle w:val="Fotnotsreferens"/>
              </w:rPr>
              <w:footnoteReference w:id="2"/>
            </w:r>
          </w:p>
        </w:tc>
        <w:tc>
          <w:tcPr>
            <w:tcW w:w="4394" w:type="dxa"/>
            <w:vAlign w:val="center"/>
          </w:tcPr>
          <w:p w:rsidR="00C03900" w:rsidRPr="00D352A2" w:rsidRDefault="00C03900" w:rsidP="00E414DF">
            <w:pPr>
              <w:pStyle w:val="Slutkommentar"/>
            </w:pPr>
            <w:r w:rsidRPr="00D352A2">
              <w:t>Hälsa på lika villkor 2010</w:t>
            </w:r>
          </w:p>
        </w:tc>
      </w:tr>
      <w:tr w:rsidR="00C03900" w:rsidRPr="00D352A2" w:rsidTr="00E414DF">
        <w:tc>
          <w:tcPr>
            <w:tcW w:w="3652" w:type="dxa"/>
            <w:vAlign w:val="center"/>
          </w:tcPr>
          <w:p w:rsidR="00C03900" w:rsidRDefault="00C03900" w:rsidP="00E414DF">
            <w:pPr>
              <w:pStyle w:val="Slutkommentar"/>
            </w:pPr>
            <w:r>
              <w:t>Övervikt/fetma barn</w:t>
            </w:r>
          </w:p>
        </w:tc>
        <w:tc>
          <w:tcPr>
            <w:tcW w:w="7088" w:type="dxa"/>
            <w:vAlign w:val="center"/>
          </w:tcPr>
          <w:p w:rsidR="00C03900" w:rsidRDefault="00C03900" w:rsidP="00E414DF">
            <w:pPr>
              <w:pStyle w:val="Slutkommentar"/>
            </w:pPr>
            <w:r>
              <w:t xml:space="preserve">Andel med övervikt/fetma hos barn f. 2007, dvs </w:t>
            </w:r>
            <w:r w:rsidRPr="0076079E">
              <w:t xml:space="preserve"> 3,75-4,25 år                                                           </w:t>
            </w:r>
          </w:p>
        </w:tc>
        <w:tc>
          <w:tcPr>
            <w:tcW w:w="4394" w:type="dxa"/>
            <w:vAlign w:val="center"/>
          </w:tcPr>
          <w:p w:rsidR="00C03900" w:rsidRPr="00F71867" w:rsidRDefault="00C03900" w:rsidP="00E414DF">
            <w:pPr>
              <w:pStyle w:val="Slutkommentar"/>
            </w:pPr>
            <w:r w:rsidRPr="0076079E">
              <w:t>Barnhälsovårdens kvalitetsutveckling i Jämtlands län, Resultatredovisning 2011</w:t>
            </w:r>
          </w:p>
        </w:tc>
      </w:tr>
      <w:tr w:rsidR="00C03900" w:rsidRPr="00D352A2" w:rsidTr="00E414DF">
        <w:tc>
          <w:tcPr>
            <w:tcW w:w="3652" w:type="dxa"/>
            <w:vAlign w:val="center"/>
          </w:tcPr>
          <w:p w:rsidR="00C03900" w:rsidRPr="00D352A2" w:rsidRDefault="00C03900" w:rsidP="00E414DF">
            <w:pPr>
              <w:pStyle w:val="Slutkommentar"/>
            </w:pPr>
            <w:r>
              <w:t>Andel vaccinerade barn födda 2009 MPR</w:t>
            </w:r>
          </w:p>
        </w:tc>
        <w:tc>
          <w:tcPr>
            <w:tcW w:w="7088" w:type="dxa"/>
            <w:vAlign w:val="center"/>
          </w:tcPr>
          <w:p w:rsidR="00C03900" w:rsidRPr="00D352A2" w:rsidRDefault="00C03900" w:rsidP="00E414DF">
            <w:pPr>
              <w:pStyle w:val="Slutkommentar"/>
            </w:pPr>
            <w:r>
              <w:t>Andel  vaccinerade barn födda 2009 dvs 2 år MPR=Mässling, Rödahund, Påssjuka</w:t>
            </w:r>
          </w:p>
        </w:tc>
        <w:tc>
          <w:tcPr>
            <w:tcW w:w="4394" w:type="dxa"/>
            <w:vAlign w:val="center"/>
          </w:tcPr>
          <w:p w:rsidR="00C03900" w:rsidRPr="00D352A2" w:rsidRDefault="00C03900" w:rsidP="00E414DF">
            <w:pPr>
              <w:pStyle w:val="Slutkommentar"/>
            </w:pPr>
            <w:bookmarkStart w:id="20" w:name="_Toc298355911"/>
            <w:r w:rsidRPr="00F71867">
              <w:t>Barnhälsovårdens</w:t>
            </w:r>
            <w:bookmarkEnd w:id="20"/>
            <w:r w:rsidRPr="00F71867">
              <w:t xml:space="preserve"> kvalitetsutveckling i Jämtlands län, Resultatredovisning 2011</w:t>
            </w:r>
          </w:p>
        </w:tc>
      </w:tr>
      <w:tr w:rsidR="00C03900" w:rsidRPr="00D352A2" w:rsidTr="00E414DF">
        <w:tc>
          <w:tcPr>
            <w:tcW w:w="3652" w:type="dxa"/>
            <w:vAlign w:val="center"/>
          </w:tcPr>
          <w:p w:rsidR="00C03900" w:rsidRPr="00D352A2" w:rsidRDefault="00C03900" w:rsidP="00E414DF">
            <w:pPr>
              <w:pStyle w:val="Slutkommentar"/>
            </w:pPr>
            <w:r w:rsidRPr="00D352A2">
              <w:t xml:space="preserve">Aborter unga </w:t>
            </w:r>
          </w:p>
        </w:tc>
        <w:tc>
          <w:tcPr>
            <w:tcW w:w="7088" w:type="dxa"/>
            <w:vAlign w:val="center"/>
          </w:tcPr>
          <w:p w:rsidR="00C03900" w:rsidRPr="00D352A2" w:rsidRDefault="00C03900" w:rsidP="00E414DF">
            <w:pPr>
              <w:pStyle w:val="Slutkommentar"/>
            </w:pPr>
            <w:r w:rsidRPr="00D352A2">
              <w:t>Antal aborter/1000 kvinnor, upp t o m 19 år</w:t>
            </w:r>
            <w:r>
              <w:t xml:space="preserve">, och 20-29år </w:t>
            </w:r>
            <w:r w:rsidRPr="00D352A2">
              <w:t>, 2011</w:t>
            </w:r>
          </w:p>
        </w:tc>
        <w:tc>
          <w:tcPr>
            <w:tcW w:w="4394" w:type="dxa"/>
            <w:vAlign w:val="center"/>
          </w:tcPr>
          <w:p w:rsidR="00C03900" w:rsidRPr="00D352A2" w:rsidRDefault="00C03900" w:rsidP="00E414DF">
            <w:pPr>
              <w:pStyle w:val="Slutkommentar"/>
            </w:pPr>
            <w:r w:rsidRPr="00D352A2">
              <w:t>Socialstyrelsen, 2011</w:t>
            </w:r>
          </w:p>
        </w:tc>
      </w:tr>
      <w:tr w:rsidR="00C03900" w:rsidRPr="00D352A2" w:rsidTr="00E414DF">
        <w:tc>
          <w:tcPr>
            <w:tcW w:w="3652" w:type="dxa"/>
            <w:vAlign w:val="center"/>
          </w:tcPr>
          <w:p w:rsidR="00C03900" w:rsidRPr="00D352A2" w:rsidRDefault="00C03900" w:rsidP="00E414DF">
            <w:pPr>
              <w:pStyle w:val="Slutkommentar"/>
            </w:pPr>
            <w:r w:rsidRPr="00D352A2">
              <w:t>Klamydia</w:t>
            </w:r>
          </w:p>
        </w:tc>
        <w:tc>
          <w:tcPr>
            <w:tcW w:w="7088" w:type="dxa"/>
            <w:vAlign w:val="center"/>
          </w:tcPr>
          <w:p w:rsidR="00C03900" w:rsidRPr="00D352A2" w:rsidRDefault="00C03900" w:rsidP="00E414DF">
            <w:pPr>
              <w:pStyle w:val="Slutkommentar"/>
            </w:pPr>
            <w:r w:rsidRPr="00D352A2">
              <w:t xml:space="preserve">Antal klamydiafall/100 000 invånare, 2012 </w:t>
            </w:r>
          </w:p>
        </w:tc>
        <w:tc>
          <w:tcPr>
            <w:tcW w:w="4394" w:type="dxa"/>
            <w:vAlign w:val="center"/>
          </w:tcPr>
          <w:p w:rsidR="00C03900" w:rsidRPr="00D352A2" w:rsidRDefault="00C03900" w:rsidP="00E414DF">
            <w:pPr>
              <w:pStyle w:val="Slutkommentar"/>
            </w:pPr>
            <w:r w:rsidRPr="00D352A2">
              <w:t>Smittskyddsinstitutet</w:t>
            </w:r>
          </w:p>
        </w:tc>
      </w:tr>
      <w:tr w:rsidR="00C03900" w:rsidRPr="00D352A2" w:rsidTr="00E414DF">
        <w:tc>
          <w:tcPr>
            <w:tcW w:w="3652" w:type="dxa"/>
            <w:vAlign w:val="center"/>
          </w:tcPr>
          <w:p w:rsidR="00C03900" w:rsidRPr="00D352A2" w:rsidRDefault="00C03900" w:rsidP="00E414DF">
            <w:pPr>
              <w:pStyle w:val="Slutkommentar"/>
            </w:pPr>
            <w:r w:rsidRPr="00D352A2">
              <w:t>Nedsatt psykiskt välbefinnande vuxna</w:t>
            </w:r>
          </w:p>
        </w:tc>
        <w:tc>
          <w:tcPr>
            <w:tcW w:w="7088" w:type="dxa"/>
            <w:vAlign w:val="center"/>
          </w:tcPr>
          <w:p w:rsidR="00C03900" w:rsidRPr="00D352A2" w:rsidRDefault="00C03900" w:rsidP="00E414DF">
            <w:pPr>
              <w:pStyle w:val="Slutkommentar"/>
            </w:pPr>
            <w:r w:rsidRPr="00D352A2">
              <w:t>Andel med nedsatt psykiskt välbefinnande, 16-84 år, 2010</w:t>
            </w:r>
          </w:p>
        </w:tc>
        <w:tc>
          <w:tcPr>
            <w:tcW w:w="4394" w:type="dxa"/>
            <w:vAlign w:val="center"/>
          </w:tcPr>
          <w:p w:rsidR="00C03900" w:rsidRPr="00D352A2" w:rsidRDefault="00C03900" w:rsidP="00E414DF">
            <w:pPr>
              <w:pStyle w:val="Slutkommentar"/>
            </w:pPr>
            <w:r w:rsidRPr="00D352A2">
              <w:t>Hälsa på lika villkor 2010</w:t>
            </w:r>
          </w:p>
        </w:tc>
      </w:tr>
      <w:tr w:rsidR="00C03900" w:rsidRPr="00D352A2" w:rsidTr="00E414DF">
        <w:tc>
          <w:tcPr>
            <w:tcW w:w="3652" w:type="dxa"/>
            <w:vAlign w:val="center"/>
          </w:tcPr>
          <w:p w:rsidR="00C03900" w:rsidRPr="00D352A2" w:rsidRDefault="00C03900" w:rsidP="00E414DF">
            <w:pPr>
              <w:pStyle w:val="Slutkommentar"/>
            </w:pPr>
            <w:r w:rsidRPr="00D44C80">
              <w:rPr>
                <w:sz w:val="18"/>
              </w:rPr>
              <w:t>Nedsatt psykiskt välbefinnande, ungavuxna</w:t>
            </w:r>
          </w:p>
        </w:tc>
        <w:tc>
          <w:tcPr>
            <w:tcW w:w="7088" w:type="dxa"/>
            <w:vAlign w:val="center"/>
          </w:tcPr>
          <w:p w:rsidR="00C03900" w:rsidRPr="00D352A2" w:rsidRDefault="00C03900" w:rsidP="00E414DF">
            <w:pPr>
              <w:pStyle w:val="Slutkommentar"/>
            </w:pPr>
            <w:r w:rsidRPr="00D352A2">
              <w:t>Andel med nedsatt psykiskt välbefinnande, 16-29 år, 2010</w:t>
            </w:r>
          </w:p>
        </w:tc>
        <w:tc>
          <w:tcPr>
            <w:tcW w:w="4394" w:type="dxa"/>
            <w:vAlign w:val="center"/>
          </w:tcPr>
          <w:p w:rsidR="00C03900" w:rsidRPr="00D352A2" w:rsidRDefault="00C03900" w:rsidP="00E414DF">
            <w:pPr>
              <w:pStyle w:val="Slutkommentar"/>
            </w:pPr>
            <w:r w:rsidRPr="00D352A2">
              <w:t>Hälsa på lika villkor 2010</w:t>
            </w:r>
          </w:p>
        </w:tc>
      </w:tr>
      <w:tr w:rsidR="00C03900" w:rsidRPr="00D352A2" w:rsidTr="00E414DF">
        <w:tc>
          <w:tcPr>
            <w:tcW w:w="3652" w:type="dxa"/>
            <w:vAlign w:val="center"/>
          </w:tcPr>
          <w:p w:rsidR="00C03900" w:rsidRPr="00D352A2" w:rsidRDefault="00C03900" w:rsidP="00E414DF">
            <w:pPr>
              <w:pStyle w:val="Slutkommentar"/>
            </w:pPr>
            <w:r w:rsidRPr="00D352A2">
              <w:t>Hälsotillstånd bra/mycket bra</w:t>
            </w:r>
          </w:p>
        </w:tc>
        <w:tc>
          <w:tcPr>
            <w:tcW w:w="7088" w:type="dxa"/>
            <w:vAlign w:val="center"/>
          </w:tcPr>
          <w:p w:rsidR="00C03900" w:rsidRPr="00D352A2" w:rsidRDefault="00C03900" w:rsidP="00E414DF">
            <w:pPr>
              <w:pStyle w:val="Slutkommentar"/>
            </w:pPr>
            <w:r w:rsidRPr="00D352A2">
              <w:t>Andel som uppgett mycket bra eller bra allmänt hälsotillstånd</w:t>
            </w:r>
          </w:p>
        </w:tc>
        <w:tc>
          <w:tcPr>
            <w:tcW w:w="4394" w:type="dxa"/>
            <w:vAlign w:val="center"/>
          </w:tcPr>
          <w:p w:rsidR="00C03900" w:rsidRPr="00D352A2" w:rsidRDefault="00C03900" w:rsidP="00E414DF">
            <w:pPr>
              <w:pStyle w:val="Slutkommentar"/>
            </w:pPr>
            <w:r w:rsidRPr="00D352A2">
              <w:t>Hälsa på lika villkor 2010</w:t>
            </w:r>
          </w:p>
        </w:tc>
      </w:tr>
      <w:tr w:rsidR="00C03900" w:rsidRPr="00D352A2" w:rsidTr="00E414DF">
        <w:tc>
          <w:tcPr>
            <w:tcW w:w="3652" w:type="dxa"/>
            <w:vAlign w:val="center"/>
          </w:tcPr>
          <w:p w:rsidR="00C03900" w:rsidRPr="00D352A2" w:rsidRDefault="00C03900" w:rsidP="00E414DF">
            <w:pPr>
              <w:pStyle w:val="Slutkommentar"/>
            </w:pPr>
            <w:r w:rsidRPr="00D352A2">
              <w:t>Nedsatt psykiskt välbefinnande</w:t>
            </w:r>
          </w:p>
        </w:tc>
        <w:tc>
          <w:tcPr>
            <w:tcW w:w="7088" w:type="dxa"/>
            <w:vAlign w:val="center"/>
          </w:tcPr>
          <w:p w:rsidR="00C03900" w:rsidRPr="00D352A2" w:rsidRDefault="00C03900" w:rsidP="00E414DF">
            <w:pPr>
              <w:pStyle w:val="Slutkommentar"/>
            </w:pPr>
          </w:p>
        </w:tc>
        <w:tc>
          <w:tcPr>
            <w:tcW w:w="4394" w:type="dxa"/>
            <w:vAlign w:val="center"/>
          </w:tcPr>
          <w:p w:rsidR="00C03900" w:rsidRPr="00D352A2" w:rsidRDefault="00C03900" w:rsidP="00E414DF">
            <w:pPr>
              <w:pStyle w:val="Slutkommentar"/>
            </w:pPr>
            <w:r w:rsidRPr="00D352A2">
              <w:t>Hälsa på lika villkor 2010</w:t>
            </w:r>
          </w:p>
        </w:tc>
      </w:tr>
      <w:tr w:rsidR="00C03900" w:rsidRPr="00D352A2" w:rsidTr="00E414DF">
        <w:tc>
          <w:tcPr>
            <w:tcW w:w="3652" w:type="dxa"/>
            <w:vAlign w:val="center"/>
          </w:tcPr>
          <w:p w:rsidR="00C03900" w:rsidRPr="00D352A2" w:rsidRDefault="00C03900" w:rsidP="00E414DF">
            <w:pPr>
              <w:pStyle w:val="Slutkommentar"/>
            </w:pPr>
            <w:r w:rsidRPr="00D352A2">
              <w:t xml:space="preserve">Självmord 2008-2010 </w:t>
            </w:r>
          </w:p>
        </w:tc>
        <w:tc>
          <w:tcPr>
            <w:tcW w:w="7088" w:type="dxa"/>
            <w:vAlign w:val="center"/>
          </w:tcPr>
          <w:p w:rsidR="00C03900" w:rsidRPr="00D352A2" w:rsidRDefault="00C03900" w:rsidP="00E414DF">
            <w:pPr>
              <w:pStyle w:val="Slutkommentar"/>
            </w:pPr>
            <w:r w:rsidRPr="00D352A2">
              <w:t>Antal självmord + dödsfall med oklart uppsåt per 100 000 inv, 2008-2010</w:t>
            </w:r>
          </w:p>
        </w:tc>
        <w:tc>
          <w:tcPr>
            <w:tcW w:w="4394" w:type="dxa"/>
            <w:vAlign w:val="center"/>
          </w:tcPr>
          <w:p w:rsidR="00C03900" w:rsidRPr="00D352A2" w:rsidRDefault="00C03900" w:rsidP="00E414DF">
            <w:pPr>
              <w:pStyle w:val="Slutkommentar"/>
            </w:pPr>
            <w:r w:rsidRPr="00D352A2">
              <w:t>Dödsorsaksregistret, Socialstyrelsen</w:t>
            </w:r>
          </w:p>
        </w:tc>
      </w:tr>
      <w:tr w:rsidR="00C03900" w:rsidRPr="00D352A2" w:rsidTr="00E414DF">
        <w:tc>
          <w:tcPr>
            <w:tcW w:w="3652" w:type="dxa"/>
            <w:vAlign w:val="center"/>
          </w:tcPr>
          <w:p w:rsidR="00C03900" w:rsidRPr="00D352A2" w:rsidRDefault="00C03900" w:rsidP="00E414DF">
            <w:pPr>
              <w:pStyle w:val="Slutkommentar"/>
            </w:pPr>
            <w:r w:rsidRPr="00D352A2">
              <w:t>Självmord antal 1997-2011</w:t>
            </w:r>
          </w:p>
        </w:tc>
        <w:tc>
          <w:tcPr>
            <w:tcW w:w="7088" w:type="dxa"/>
            <w:vAlign w:val="center"/>
          </w:tcPr>
          <w:p w:rsidR="00C03900" w:rsidRPr="00D352A2" w:rsidRDefault="00C03900" w:rsidP="00E414DF">
            <w:pPr>
              <w:pStyle w:val="Slutkommentar"/>
            </w:pPr>
            <w:r w:rsidRPr="00D352A2">
              <w:t>Antal självmord (säkra och osäkra)</w:t>
            </w:r>
          </w:p>
        </w:tc>
        <w:tc>
          <w:tcPr>
            <w:tcW w:w="4394" w:type="dxa"/>
            <w:vAlign w:val="center"/>
          </w:tcPr>
          <w:p w:rsidR="00C03900" w:rsidRPr="00D352A2" w:rsidRDefault="00C03900" w:rsidP="00E414DF">
            <w:pPr>
              <w:pStyle w:val="Slutkommentar"/>
            </w:pPr>
            <w:r w:rsidRPr="00D44C80">
              <w:rPr>
                <w:sz w:val="16"/>
              </w:rPr>
              <w:t>Karolinska institutet, Guo-Xin Jiang MD, PhD, 2012-09-18</w:t>
            </w:r>
          </w:p>
        </w:tc>
      </w:tr>
      <w:tr w:rsidR="00C03900" w:rsidRPr="00D352A2" w:rsidTr="00E414DF">
        <w:tc>
          <w:tcPr>
            <w:tcW w:w="3652" w:type="dxa"/>
            <w:vAlign w:val="center"/>
          </w:tcPr>
          <w:p w:rsidR="00C03900" w:rsidRPr="00D352A2" w:rsidRDefault="00C03900" w:rsidP="00E414DF">
            <w:pPr>
              <w:pStyle w:val="Slutkommentar"/>
            </w:pPr>
            <w:r w:rsidRPr="00D352A2">
              <w:t>Sjukskrivningsdagar</w:t>
            </w:r>
          </w:p>
        </w:tc>
        <w:tc>
          <w:tcPr>
            <w:tcW w:w="7088" w:type="dxa"/>
            <w:vAlign w:val="center"/>
          </w:tcPr>
          <w:p w:rsidR="00C03900" w:rsidRPr="00D352A2" w:rsidRDefault="00C03900" w:rsidP="00E414DF">
            <w:pPr>
              <w:pStyle w:val="Slutkommentar"/>
            </w:pPr>
            <w:r w:rsidRPr="00D352A2">
              <w:t>Sjukskrivningsdagar per kön/kommun, län och riket . 2012-10-31</w:t>
            </w:r>
          </w:p>
        </w:tc>
        <w:tc>
          <w:tcPr>
            <w:tcW w:w="4394" w:type="dxa"/>
            <w:vAlign w:val="center"/>
          </w:tcPr>
          <w:p w:rsidR="00C03900" w:rsidRPr="00D352A2" w:rsidRDefault="00C03900" w:rsidP="00E414DF">
            <w:pPr>
              <w:pStyle w:val="Slutkommentar"/>
            </w:pPr>
            <w:r w:rsidRPr="00D352A2">
              <w:t>Försäkringskassan</w:t>
            </w:r>
          </w:p>
        </w:tc>
      </w:tr>
      <w:tr w:rsidR="00C03900" w:rsidRPr="00D352A2" w:rsidTr="00E414DF">
        <w:tc>
          <w:tcPr>
            <w:tcW w:w="3652" w:type="dxa"/>
            <w:vAlign w:val="center"/>
          </w:tcPr>
          <w:p w:rsidR="00C03900" w:rsidRPr="00D352A2" w:rsidRDefault="00C03900" w:rsidP="00E414DF">
            <w:pPr>
              <w:pStyle w:val="Slutkommentar"/>
            </w:pPr>
            <w:r w:rsidRPr="00D352A2">
              <w:t>Andel av befolkningen 75 år och äldre</w:t>
            </w:r>
          </w:p>
        </w:tc>
        <w:tc>
          <w:tcPr>
            <w:tcW w:w="7088" w:type="dxa"/>
            <w:vAlign w:val="center"/>
          </w:tcPr>
          <w:p w:rsidR="00C03900" w:rsidRPr="00D352A2" w:rsidRDefault="00C03900" w:rsidP="00E414DF">
            <w:pPr>
              <w:pStyle w:val="Slutkommentar"/>
            </w:pPr>
            <w:r w:rsidRPr="00D352A2">
              <w:t>Befolkningsprognos Jämtlands län</w:t>
            </w:r>
          </w:p>
        </w:tc>
        <w:tc>
          <w:tcPr>
            <w:tcW w:w="4394" w:type="dxa"/>
            <w:vAlign w:val="center"/>
          </w:tcPr>
          <w:p w:rsidR="00C03900" w:rsidRPr="00D352A2" w:rsidRDefault="00C03900" w:rsidP="00E414DF">
            <w:pPr>
              <w:pStyle w:val="Slutkommentar"/>
            </w:pPr>
            <w:r w:rsidRPr="00D352A2">
              <w:t>Demografen i Lund</w:t>
            </w:r>
          </w:p>
        </w:tc>
      </w:tr>
      <w:tr w:rsidR="00C03900" w:rsidRPr="00D352A2" w:rsidTr="00E414DF">
        <w:tc>
          <w:tcPr>
            <w:tcW w:w="3652" w:type="dxa"/>
            <w:vAlign w:val="center"/>
          </w:tcPr>
          <w:p w:rsidR="00C03900" w:rsidRPr="00D352A2" w:rsidRDefault="00C03900" w:rsidP="00E414DF">
            <w:pPr>
              <w:pStyle w:val="Slutkommentar"/>
            </w:pPr>
            <w:r w:rsidRPr="00D352A2">
              <w:t xml:space="preserve">Äldre nöjda med hemtjänst i sin helhet </w:t>
            </w:r>
          </w:p>
        </w:tc>
        <w:tc>
          <w:tcPr>
            <w:tcW w:w="7088" w:type="dxa"/>
            <w:vAlign w:val="center"/>
          </w:tcPr>
          <w:p w:rsidR="00C03900" w:rsidRPr="00D352A2" w:rsidRDefault="00C03900" w:rsidP="00E414DF">
            <w:pPr>
              <w:pStyle w:val="Slutkommentar"/>
            </w:pPr>
            <w:r w:rsidRPr="00D352A2">
              <w:t xml:space="preserve">De äldres bedömning sammantaget (nöjda eller mycket nöjda) med hemtjänsten 2012 (kommunens ranking i Sverige i indikatorn) </w:t>
            </w:r>
          </w:p>
        </w:tc>
        <w:tc>
          <w:tcPr>
            <w:tcW w:w="4394" w:type="dxa"/>
            <w:vAlign w:val="center"/>
          </w:tcPr>
          <w:p w:rsidR="00C03900" w:rsidRPr="00D352A2" w:rsidRDefault="00C03900" w:rsidP="00E414DF">
            <w:pPr>
              <w:pStyle w:val="Slutkommentar"/>
            </w:pPr>
            <w:r w:rsidRPr="00D352A2">
              <w:t>Öppna Jämförelser vård och omsorg om äldre 2012</w:t>
            </w:r>
          </w:p>
          <w:p w:rsidR="00C03900" w:rsidRPr="00D352A2" w:rsidRDefault="00C03900" w:rsidP="00E414DF">
            <w:pPr>
              <w:pStyle w:val="Slutkommentar"/>
            </w:pPr>
          </w:p>
        </w:tc>
      </w:tr>
      <w:tr w:rsidR="00C03900" w:rsidRPr="00D352A2" w:rsidTr="00E414DF">
        <w:tc>
          <w:tcPr>
            <w:tcW w:w="3652" w:type="dxa"/>
            <w:vAlign w:val="center"/>
          </w:tcPr>
          <w:p w:rsidR="00C03900" w:rsidRPr="00D352A2" w:rsidRDefault="00C03900" w:rsidP="00E414DF">
            <w:pPr>
              <w:pStyle w:val="Slutkommentar"/>
            </w:pPr>
            <w:r w:rsidRPr="00D352A2">
              <w:t xml:space="preserve">Äldre nöjda med särskilt boende  i sin helhet </w:t>
            </w:r>
          </w:p>
        </w:tc>
        <w:tc>
          <w:tcPr>
            <w:tcW w:w="7088" w:type="dxa"/>
            <w:vAlign w:val="center"/>
          </w:tcPr>
          <w:p w:rsidR="00C03900" w:rsidRPr="00D352A2" w:rsidRDefault="00C03900" w:rsidP="00E414DF">
            <w:pPr>
              <w:pStyle w:val="Slutkommentar"/>
            </w:pPr>
            <w:r w:rsidRPr="00D352A2">
              <w:t xml:space="preserve">De äldres bedömning sammantaget (nöjda eller mycket nöjda) med sitt särskilda boende 2012 (kommunens ranking i Sverige i indikatorn) </w:t>
            </w:r>
          </w:p>
        </w:tc>
        <w:tc>
          <w:tcPr>
            <w:tcW w:w="4394" w:type="dxa"/>
            <w:vAlign w:val="center"/>
          </w:tcPr>
          <w:p w:rsidR="00C03900" w:rsidRPr="00D352A2" w:rsidRDefault="00C03900" w:rsidP="00E414DF">
            <w:pPr>
              <w:pStyle w:val="Slutkommentar"/>
            </w:pPr>
            <w:r w:rsidRPr="00D352A2">
              <w:t>Öppna Jämförelser vård och omsorg om äldre 2012</w:t>
            </w:r>
          </w:p>
          <w:p w:rsidR="00C03900" w:rsidRPr="00D352A2" w:rsidRDefault="00C03900" w:rsidP="00E414DF">
            <w:pPr>
              <w:pStyle w:val="Slutkommentar"/>
            </w:pPr>
          </w:p>
        </w:tc>
      </w:tr>
      <w:tr w:rsidR="00C03900" w:rsidRPr="00D352A2" w:rsidTr="00E414DF">
        <w:tc>
          <w:tcPr>
            <w:tcW w:w="3652" w:type="dxa"/>
            <w:vAlign w:val="center"/>
          </w:tcPr>
          <w:p w:rsidR="00C03900" w:rsidRPr="00D352A2" w:rsidRDefault="00C03900" w:rsidP="00E414DF">
            <w:pPr>
              <w:pStyle w:val="Slutkommentar"/>
            </w:pPr>
            <w:r w:rsidRPr="00D352A2">
              <w:t>Fallskador per 1000 invånare</w:t>
            </w:r>
          </w:p>
        </w:tc>
        <w:tc>
          <w:tcPr>
            <w:tcW w:w="7088" w:type="dxa"/>
            <w:vAlign w:val="center"/>
          </w:tcPr>
          <w:p w:rsidR="00C03900" w:rsidRPr="00D352A2" w:rsidRDefault="00C03900" w:rsidP="00E414DF">
            <w:pPr>
              <w:pStyle w:val="Slutkommentar"/>
            </w:pPr>
            <w:r w:rsidRPr="00D352A2">
              <w:t>Antal personer med fallskador per 1000 invånare.  2009-2011</w:t>
            </w:r>
          </w:p>
        </w:tc>
        <w:tc>
          <w:tcPr>
            <w:tcW w:w="4394" w:type="dxa"/>
            <w:vAlign w:val="center"/>
          </w:tcPr>
          <w:p w:rsidR="00C03900" w:rsidRPr="00D352A2" w:rsidRDefault="00C03900" w:rsidP="00E414DF">
            <w:pPr>
              <w:pStyle w:val="Slutkommentar"/>
            </w:pPr>
            <w:r w:rsidRPr="00677B68">
              <w:t>Öppna Jämförelser vård och omsorg om äldre 2012</w:t>
            </w:r>
          </w:p>
        </w:tc>
      </w:tr>
      <w:tr w:rsidR="00C03900" w:rsidRPr="00D352A2" w:rsidTr="00E414DF">
        <w:tc>
          <w:tcPr>
            <w:tcW w:w="3652" w:type="dxa"/>
            <w:vAlign w:val="center"/>
          </w:tcPr>
          <w:p w:rsidR="00C03900" w:rsidRPr="00D352A2" w:rsidRDefault="00C03900" w:rsidP="00E414DF">
            <w:pPr>
              <w:pStyle w:val="Slutkommentar"/>
            </w:pPr>
            <w:r w:rsidRPr="00D352A2">
              <w:t>Äldres psykiska hälsa &gt;3 psykofarmaka 2011</w:t>
            </w:r>
          </w:p>
        </w:tc>
        <w:tc>
          <w:tcPr>
            <w:tcW w:w="7088" w:type="dxa"/>
            <w:vAlign w:val="center"/>
          </w:tcPr>
          <w:p w:rsidR="00C03900" w:rsidRPr="00D352A2" w:rsidRDefault="00C03900" w:rsidP="00E414DF">
            <w:pPr>
              <w:pStyle w:val="Slutkommentar"/>
            </w:pPr>
            <w:r w:rsidRPr="00D352A2">
              <w:t>Andel äldre som behandlas med tre eller fler psykofarmaka samtidigt 2011</w:t>
            </w:r>
          </w:p>
        </w:tc>
        <w:tc>
          <w:tcPr>
            <w:tcW w:w="4394" w:type="dxa"/>
            <w:vAlign w:val="center"/>
          </w:tcPr>
          <w:p w:rsidR="00C03900" w:rsidRPr="00D352A2" w:rsidRDefault="00C03900" w:rsidP="00E414DF">
            <w:pPr>
              <w:pStyle w:val="Slutkommentar"/>
            </w:pPr>
            <w:r w:rsidRPr="00D352A2">
              <w:t>Öppna Jämförelser vård och omsorg om äldre 2012</w:t>
            </w:r>
          </w:p>
          <w:p w:rsidR="00C03900" w:rsidRPr="00D352A2" w:rsidRDefault="00C03900" w:rsidP="00E414DF">
            <w:pPr>
              <w:pStyle w:val="Slutkommentar"/>
            </w:pPr>
          </w:p>
        </w:tc>
      </w:tr>
      <w:tr w:rsidR="00C03900" w:rsidRPr="00D352A2" w:rsidTr="00E414DF">
        <w:tc>
          <w:tcPr>
            <w:tcW w:w="3652" w:type="dxa"/>
            <w:vAlign w:val="center"/>
          </w:tcPr>
          <w:p w:rsidR="00C03900" w:rsidRPr="00D352A2" w:rsidRDefault="00C03900" w:rsidP="00E414DF">
            <w:pPr>
              <w:pStyle w:val="Slutkommentar"/>
            </w:pPr>
            <w:r w:rsidRPr="00D352A2">
              <w:t>Stöd o hjälp efter stroke - oberoende efter 12 mån</w:t>
            </w:r>
          </w:p>
        </w:tc>
        <w:tc>
          <w:tcPr>
            <w:tcW w:w="7088" w:type="dxa"/>
            <w:vAlign w:val="center"/>
          </w:tcPr>
          <w:p w:rsidR="00C03900" w:rsidRPr="00D352A2" w:rsidRDefault="00C03900" w:rsidP="00E414DF">
            <w:pPr>
              <w:pStyle w:val="Slutkommentar"/>
            </w:pPr>
            <w:r w:rsidRPr="00D352A2">
              <w:t>Andel äldre som 12 månader efter insjuknandet är oberoende av hjälp. Genomsnitt 2009-2011</w:t>
            </w:r>
          </w:p>
        </w:tc>
        <w:tc>
          <w:tcPr>
            <w:tcW w:w="4394" w:type="dxa"/>
            <w:vAlign w:val="center"/>
          </w:tcPr>
          <w:p w:rsidR="00C03900" w:rsidRPr="00D352A2" w:rsidRDefault="00C03900" w:rsidP="00E414DF">
            <w:pPr>
              <w:pStyle w:val="Slutkommentar"/>
            </w:pPr>
            <w:r w:rsidRPr="00D352A2">
              <w:t>Öppna Jämförelser vård och omsorg om äldre 2012</w:t>
            </w:r>
          </w:p>
          <w:p w:rsidR="00C03900" w:rsidRPr="00D352A2" w:rsidRDefault="00C03900" w:rsidP="00E414DF">
            <w:pPr>
              <w:pStyle w:val="Slutkommentar"/>
            </w:pPr>
          </w:p>
        </w:tc>
      </w:tr>
      <w:tr w:rsidR="00C03900" w:rsidRPr="00D352A2" w:rsidTr="00E414DF">
        <w:tc>
          <w:tcPr>
            <w:tcW w:w="3652" w:type="dxa"/>
            <w:vAlign w:val="center"/>
          </w:tcPr>
          <w:p w:rsidR="00C03900" w:rsidRPr="00D352A2" w:rsidRDefault="00C03900" w:rsidP="00E414DF">
            <w:pPr>
              <w:pStyle w:val="Slutkommentar"/>
            </w:pPr>
            <w:r>
              <w:t>Riskbedömning</w:t>
            </w:r>
          </w:p>
        </w:tc>
        <w:tc>
          <w:tcPr>
            <w:tcW w:w="7088" w:type="dxa"/>
            <w:vAlign w:val="center"/>
          </w:tcPr>
          <w:p w:rsidR="00C03900" w:rsidRPr="008C3C11" w:rsidRDefault="00C03900" w:rsidP="00E414DF">
            <w:pPr>
              <w:pStyle w:val="Slutkommentar"/>
            </w:pPr>
            <w:r>
              <w:t>A</w:t>
            </w:r>
            <w:r w:rsidRPr="008C3C11">
              <w:t xml:space="preserve">ndel </w:t>
            </w:r>
            <w:r>
              <w:t xml:space="preserve"> </w:t>
            </w:r>
            <w:r w:rsidRPr="008C3C11">
              <w:t>personer  som är inskriven i SÄBO, demensboende eller korttidsboende</w:t>
            </w:r>
          </w:p>
          <w:p w:rsidR="00C03900" w:rsidRPr="00D352A2" w:rsidRDefault="00C03900" w:rsidP="00E414DF">
            <w:pPr>
              <w:pStyle w:val="Slutkommentar"/>
            </w:pPr>
            <w:r w:rsidRPr="008C3C11">
              <w:t>27</w:t>
            </w:r>
            <w:r>
              <w:t>/1</w:t>
            </w:r>
            <w:r w:rsidRPr="008C3C11">
              <w:t xml:space="preserve"> 2013 som fått en riskbedömning som är registrerad i Senior</w:t>
            </w:r>
            <w:r>
              <w:t xml:space="preserve"> </w:t>
            </w:r>
            <w:r w:rsidRPr="008C3C11">
              <w:t>alert senaste året.</w:t>
            </w:r>
          </w:p>
        </w:tc>
        <w:tc>
          <w:tcPr>
            <w:tcW w:w="4394" w:type="dxa"/>
            <w:vAlign w:val="center"/>
          </w:tcPr>
          <w:p w:rsidR="00C03900" w:rsidRPr="00D352A2" w:rsidRDefault="00C03900" w:rsidP="00E414DF">
            <w:pPr>
              <w:pStyle w:val="Slutkommentar"/>
            </w:pPr>
            <w:r>
              <w:t>Senior Alert registret</w:t>
            </w:r>
          </w:p>
        </w:tc>
      </w:tr>
      <w:tr w:rsidR="00C03900" w:rsidRPr="00D352A2" w:rsidTr="00E414DF">
        <w:tc>
          <w:tcPr>
            <w:tcW w:w="3652" w:type="dxa"/>
            <w:vAlign w:val="center"/>
          </w:tcPr>
          <w:p w:rsidR="00C03900" w:rsidRDefault="00C03900" w:rsidP="00E414DF">
            <w:pPr>
              <w:pStyle w:val="Slutkommentar"/>
            </w:pPr>
            <w:r>
              <w:t>Palliation</w:t>
            </w:r>
          </w:p>
        </w:tc>
        <w:tc>
          <w:tcPr>
            <w:tcW w:w="7088" w:type="dxa"/>
            <w:vAlign w:val="center"/>
          </w:tcPr>
          <w:p w:rsidR="00C03900" w:rsidRDefault="00C03900" w:rsidP="00E414DF">
            <w:pPr>
              <w:pStyle w:val="Slutkommentar"/>
            </w:pPr>
            <w:r>
              <w:t>Täckningsgrad i palliativa registret och indikator andel genomförda brytpunktssamtal</w:t>
            </w:r>
          </w:p>
        </w:tc>
        <w:tc>
          <w:tcPr>
            <w:tcW w:w="4394" w:type="dxa"/>
            <w:vAlign w:val="center"/>
          </w:tcPr>
          <w:p w:rsidR="00C03900" w:rsidRDefault="00C03900" w:rsidP="00E414DF">
            <w:pPr>
              <w:pStyle w:val="Slutkommentar"/>
            </w:pPr>
            <w:r>
              <w:t>Förbättrad vård i livets slutskede – Ledningskraft.se</w:t>
            </w:r>
          </w:p>
        </w:tc>
      </w:tr>
    </w:tbl>
    <w:p w:rsidR="00C03900" w:rsidRDefault="00C03900" w:rsidP="00C03900">
      <w:pPr>
        <w:pStyle w:val="Slutkommentar"/>
        <w:rPr>
          <w:sz w:val="24"/>
          <w:szCs w:val="24"/>
        </w:rPr>
      </w:pPr>
    </w:p>
    <w:p w:rsidR="00F5059B" w:rsidRDefault="00FA4347" w:rsidP="00C03900">
      <w:pPr>
        <w:pStyle w:val="Brdtext"/>
        <w:ind w:left="-284"/>
      </w:pPr>
      <w:r w:rsidRPr="00FA4347">
        <w:rPr>
          <w:noProof/>
        </w:rPr>
        <w:lastRenderedPageBreak/>
        <w:drawing>
          <wp:inline distT="0" distB="0" distL="0" distR="0">
            <wp:extent cx="9503410" cy="5626089"/>
            <wp:effectExtent l="19050" t="0" r="254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9503410" cy="5626089"/>
                    </a:xfrm>
                    <a:prstGeom prst="rect">
                      <a:avLst/>
                    </a:prstGeom>
                    <a:noFill/>
                    <a:ln w="9525">
                      <a:noFill/>
                      <a:miter lim="800000"/>
                      <a:headEnd/>
                      <a:tailEnd/>
                    </a:ln>
                  </pic:spPr>
                </pic:pic>
              </a:graphicData>
            </a:graphic>
          </wp:inline>
        </w:drawing>
      </w:r>
    </w:p>
    <w:p w:rsidR="00F5059B" w:rsidRDefault="00F5059B" w:rsidP="005F6F26">
      <w:pPr>
        <w:pStyle w:val="Brdtext"/>
        <w:sectPr w:rsidR="00F5059B" w:rsidSect="002D5434">
          <w:pgSz w:w="16838" w:h="11906" w:orient="landscape" w:code="9"/>
          <w:pgMar w:top="567" w:right="1021" w:bottom="709" w:left="851" w:header="794" w:footer="624" w:gutter="0"/>
          <w:cols w:space="720"/>
          <w:titlePg/>
          <w:docGrid w:linePitch="360"/>
        </w:sectPr>
      </w:pPr>
    </w:p>
    <w:p w:rsidR="002348C5" w:rsidRDefault="002348C5" w:rsidP="005F6F26">
      <w:pPr>
        <w:pStyle w:val="Brdtext"/>
      </w:pPr>
      <w:r>
        <w:lastRenderedPageBreak/>
        <w:tab/>
      </w:r>
      <w:r>
        <w:tab/>
      </w:r>
      <w:r>
        <w:tab/>
      </w:r>
      <w:r>
        <w:tab/>
      </w:r>
      <w:r>
        <w:tab/>
      </w:r>
      <w:r>
        <w:tab/>
      </w:r>
      <w:r w:rsidR="002D5434">
        <w:tab/>
      </w:r>
      <w:r w:rsidR="002D5434">
        <w:tab/>
      </w:r>
      <w:r w:rsidR="002D5434">
        <w:tab/>
      </w:r>
      <w:r w:rsidR="002D5434">
        <w:tab/>
      </w:r>
      <w:r>
        <w:t>Sid 20</w:t>
      </w:r>
    </w:p>
    <w:p w:rsidR="002348C5" w:rsidRDefault="002348C5" w:rsidP="005F6F26">
      <w:pPr>
        <w:pStyle w:val="Brdtext"/>
      </w:pPr>
    </w:p>
    <w:tbl>
      <w:tblPr>
        <w:tblW w:w="9240" w:type="dxa"/>
        <w:tblInd w:w="55" w:type="dxa"/>
        <w:tblCellMar>
          <w:left w:w="70" w:type="dxa"/>
          <w:right w:w="70" w:type="dxa"/>
        </w:tblCellMar>
        <w:tblLook w:val="04A0"/>
      </w:tblPr>
      <w:tblGrid>
        <w:gridCol w:w="4700"/>
        <w:gridCol w:w="700"/>
        <w:gridCol w:w="540"/>
        <w:gridCol w:w="540"/>
        <w:gridCol w:w="560"/>
        <w:gridCol w:w="560"/>
        <w:gridCol w:w="820"/>
        <w:gridCol w:w="820"/>
      </w:tblGrid>
      <w:tr w:rsidR="002348C5" w:rsidRPr="002348C5" w:rsidTr="002348C5">
        <w:trPr>
          <w:trHeight w:val="690"/>
        </w:trPr>
        <w:tc>
          <w:tcPr>
            <w:tcW w:w="4700" w:type="dxa"/>
            <w:tcBorders>
              <w:top w:val="single" w:sz="8" w:space="0" w:color="auto"/>
              <w:left w:val="single" w:sz="8" w:space="0" w:color="auto"/>
              <w:bottom w:val="nil"/>
              <w:right w:val="single" w:sz="4" w:space="0" w:color="auto"/>
            </w:tcBorders>
            <w:shd w:val="clear" w:color="000000" w:fill="D7E4BC"/>
            <w:noWrap/>
            <w:vAlign w:val="bottom"/>
            <w:hideMark/>
          </w:tcPr>
          <w:p w:rsidR="002348C5" w:rsidRPr="002348C5" w:rsidRDefault="002348C5" w:rsidP="002348C5">
            <w:pPr>
              <w:rPr>
                <w:rFonts w:ascii="Arial Narrow" w:hAnsi="Arial Narrow" w:cs="Arial"/>
                <w:b/>
                <w:bCs/>
                <w:color w:val="000000"/>
                <w:szCs w:val="24"/>
              </w:rPr>
            </w:pPr>
            <w:r w:rsidRPr="002348C5">
              <w:rPr>
                <w:rFonts w:ascii="Arial Narrow" w:hAnsi="Arial Narrow" w:cs="Arial"/>
                <w:b/>
                <w:bCs/>
                <w:color w:val="000000"/>
                <w:szCs w:val="24"/>
              </w:rPr>
              <w:t>Ur Hälsosamtal i skolan 2011/12  - Länsuppgifter</w:t>
            </w:r>
          </w:p>
        </w:tc>
        <w:tc>
          <w:tcPr>
            <w:tcW w:w="700" w:type="dxa"/>
            <w:tcBorders>
              <w:top w:val="single" w:sz="8" w:space="0" w:color="auto"/>
              <w:left w:val="nil"/>
              <w:bottom w:val="nil"/>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 </w:t>
            </w:r>
          </w:p>
        </w:tc>
        <w:tc>
          <w:tcPr>
            <w:tcW w:w="540" w:type="dxa"/>
            <w:tcBorders>
              <w:top w:val="single" w:sz="8" w:space="0" w:color="auto"/>
              <w:left w:val="single" w:sz="8" w:space="0" w:color="auto"/>
              <w:bottom w:val="nil"/>
              <w:right w:val="single" w:sz="4" w:space="0" w:color="auto"/>
            </w:tcBorders>
            <w:shd w:val="clear" w:color="000000" w:fill="D7E4BC"/>
            <w:vAlign w:val="bottom"/>
            <w:hideMark/>
          </w:tcPr>
          <w:p w:rsidR="002348C5" w:rsidRPr="002348C5" w:rsidRDefault="002348C5" w:rsidP="002348C5">
            <w:pPr>
              <w:rPr>
                <w:rFonts w:ascii="Arial" w:hAnsi="Arial" w:cs="Arial"/>
                <w:b/>
                <w:bCs/>
                <w:color w:val="000000"/>
                <w:sz w:val="20"/>
              </w:rPr>
            </w:pPr>
            <w:r w:rsidRPr="002348C5">
              <w:rPr>
                <w:rFonts w:ascii="Arial" w:hAnsi="Arial" w:cs="Arial"/>
                <w:b/>
                <w:bCs/>
                <w:color w:val="000000"/>
                <w:sz w:val="20"/>
              </w:rPr>
              <w:t>Åk 4 poj</w:t>
            </w:r>
          </w:p>
        </w:tc>
        <w:tc>
          <w:tcPr>
            <w:tcW w:w="540" w:type="dxa"/>
            <w:tcBorders>
              <w:top w:val="single" w:sz="8" w:space="0" w:color="auto"/>
              <w:left w:val="nil"/>
              <w:bottom w:val="nil"/>
              <w:right w:val="single" w:sz="8" w:space="0" w:color="auto"/>
            </w:tcBorders>
            <w:shd w:val="clear" w:color="000000" w:fill="D7E4BC"/>
            <w:vAlign w:val="bottom"/>
            <w:hideMark/>
          </w:tcPr>
          <w:p w:rsidR="002348C5" w:rsidRPr="002348C5" w:rsidRDefault="002348C5" w:rsidP="002348C5">
            <w:pPr>
              <w:rPr>
                <w:rFonts w:ascii="Arial" w:hAnsi="Arial" w:cs="Arial"/>
                <w:b/>
                <w:bCs/>
                <w:color w:val="000000"/>
                <w:sz w:val="20"/>
              </w:rPr>
            </w:pPr>
            <w:r w:rsidRPr="002348C5">
              <w:rPr>
                <w:rFonts w:ascii="Arial" w:hAnsi="Arial" w:cs="Arial"/>
                <w:b/>
                <w:bCs/>
                <w:color w:val="000000"/>
                <w:sz w:val="20"/>
              </w:rPr>
              <w:t>Åk 4 fl</w:t>
            </w:r>
          </w:p>
        </w:tc>
        <w:tc>
          <w:tcPr>
            <w:tcW w:w="560" w:type="dxa"/>
            <w:tcBorders>
              <w:top w:val="single" w:sz="8" w:space="0" w:color="auto"/>
              <w:left w:val="nil"/>
              <w:bottom w:val="nil"/>
              <w:right w:val="single" w:sz="4" w:space="0" w:color="auto"/>
            </w:tcBorders>
            <w:shd w:val="clear" w:color="000000" w:fill="D7E4BC"/>
            <w:vAlign w:val="bottom"/>
            <w:hideMark/>
          </w:tcPr>
          <w:p w:rsidR="002348C5" w:rsidRPr="002348C5" w:rsidRDefault="002348C5" w:rsidP="002348C5">
            <w:pPr>
              <w:rPr>
                <w:rFonts w:ascii="Arial" w:hAnsi="Arial" w:cs="Arial"/>
                <w:b/>
                <w:bCs/>
                <w:color w:val="000000"/>
                <w:sz w:val="20"/>
              </w:rPr>
            </w:pPr>
            <w:r w:rsidRPr="002348C5">
              <w:rPr>
                <w:rFonts w:ascii="Arial" w:hAnsi="Arial" w:cs="Arial"/>
                <w:b/>
                <w:bCs/>
                <w:color w:val="000000"/>
                <w:sz w:val="20"/>
              </w:rPr>
              <w:t>Åk 7 poj</w:t>
            </w:r>
          </w:p>
        </w:tc>
        <w:tc>
          <w:tcPr>
            <w:tcW w:w="560" w:type="dxa"/>
            <w:tcBorders>
              <w:top w:val="single" w:sz="8" w:space="0" w:color="auto"/>
              <w:left w:val="nil"/>
              <w:bottom w:val="nil"/>
              <w:right w:val="single" w:sz="8" w:space="0" w:color="auto"/>
            </w:tcBorders>
            <w:shd w:val="clear" w:color="000000" w:fill="D7E4BC"/>
            <w:vAlign w:val="bottom"/>
            <w:hideMark/>
          </w:tcPr>
          <w:p w:rsidR="002348C5" w:rsidRPr="002348C5" w:rsidRDefault="002348C5" w:rsidP="002348C5">
            <w:pPr>
              <w:rPr>
                <w:rFonts w:ascii="Arial" w:hAnsi="Arial" w:cs="Arial"/>
                <w:b/>
                <w:bCs/>
                <w:color w:val="000000"/>
                <w:sz w:val="20"/>
              </w:rPr>
            </w:pPr>
            <w:r w:rsidRPr="002348C5">
              <w:rPr>
                <w:rFonts w:ascii="Arial" w:hAnsi="Arial" w:cs="Arial"/>
                <w:b/>
                <w:bCs/>
                <w:color w:val="000000"/>
                <w:sz w:val="20"/>
              </w:rPr>
              <w:t>Åk 7 fl</w:t>
            </w:r>
          </w:p>
        </w:tc>
        <w:tc>
          <w:tcPr>
            <w:tcW w:w="820" w:type="dxa"/>
            <w:tcBorders>
              <w:top w:val="single" w:sz="8" w:space="0" w:color="auto"/>
              <w:left w:val="nil"/>
              <w:bottom w:val="nil"/>
              <w:right w:val="single" w:sz="4" w:space="0" w:color="auto"/>
            </w:tcBorders>
            <w:shd w:val="clear" w:color="000000" w:fill="D7E4BC"/>
            <w:vAlign w:val="bottom"/>
            <w:hideMark/>
          </w:tcPr>
          <w:p w:rsidR="002348C5" w:rsidRPr="002348C5" w:rsidRDefault="002348C5" w:rsidP="002348C5">
            <w:pPr>
              <w:rPr>
                <w:rFonts w:ascii="Arial" w:hAnsi="Arial" w:cs="Arial"/>
                <w:b/>
                <w:bCs/>
                <w:color w:val="000000"/>
                <w:sz w:val="20"/>
              </w:rPr>
            </w:pPr>
            <w:r w:rsidRPr="002348C5">
              <w:rPr>
                <w:rFonts w:ascii="Arial" w:hAnsi="Arial" w:cs="Arial"/>
                <w:b/>
                <w:bCs/>
                <w:color w:val="000000"/>
                <w:sz w:val="20"/>
              </w:rPr>
              <w:t>Åk 1 gy, poj</w:t>
            </w:r>
          </w:p>
        </w:tc>
        <w:tc>
          <w:tcPr>
            <w:tcW w:w="820" w:type="dxa"/>
            <w:tcBorders>
              <w:top w:val="single" w:sz="8" w:space="0" w:color="auto"/>
              <w:left w:val="nil"/>
              <w:bottom w:val="nil"/>
              <w:right w:val="single" w:sz="8" w:space="0" w:color="auto"/>
            </w:tcBorders>
            <w:shd w:val="clear" w:color="000000" w:fill="D7E4BC"/>
            <w:vAlign w:val="bottom"/>
            <w:hideMark/>
          </w:tcPr>
          <w:p w:rsidR="002348C5" w:rsidRPr="002348C5" w:rsidRDefault="002348C5" w:rsidP="002348C5">
            <w:pPr>
              <w:rPr>
                <w:rFonts w:ascii="Arial" w:hAnsi="Arial" w:cs="Arial"/>
                <w:b/>
                <w:bCs/>
                <w:color w:val="000000"/>
                <w:sz w:val="20"/>
              </w:rPr>
            </w:pPr>
            <w:r w:rsidRPr="002348C5">
              <w:rPr>
                <w:rFonts w:ascii="Arial" w:hAnsi="Arial" w:cs="Arial"/>
                <w:b/>
                <w:bCs/>
                <w:color w:val="000000"/>
                <w:sz w:val="20"/>
              </w:rPr>
              <w:t>Åk 1 gy, fl</w:t>
            </w:r>
          </w:p>
        </w:tc>
      </w:tr>
      <w:tr w:rsidR="002348C5" w:rsidRPr="002348C5" w:rsidTr="002348C5">
        <w:trPr>
          <w:trHeight w:val="255"/>
        </w:trPr>
        <w:tc>
          <w:tcPr>
            <w:tcW w:w="4700" w:type="dxa"/>
            <w:tcBorders>
              <w:top w:val="single" w:sz="8" w:space="0" w:color="auto"/>
              <w:left w:val="single" w:sz="8" w:space="0" w:color="auto"/>
              <w:bottom w:val="single" w:sz="4" w:space="0" w:color="auto"/>
              <w:right w:val="single" w:sz="4" w:space="0" w:color="auto"/>
            </w:tcBorders>
            <w:shd w:val="clear" w:color="000000" w:fill="D7E4BC"/>
            <w:noWrap/>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Jag mår</w:t>
            </w:r>
          </w:p>
        </w:tc>
        <w:tc>
          <w:tcPr>
            <w:tcW w:w="700" w:type="dxa"/>
            <w:tcBorders>
              <w:top w:val="single" w:sz="8" w:space="0" w:color="auto"/>
              <w:left w:val="nil"/>
              <w:bottom w:val="single" w:sz="4" w:space="0" w:color="auto"/>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mkt bra</w:t>
            </w:r>
          </w:p>
        </w:tc>
        <w:tc>
          <w:tcPr>
            <w:tcW w:w="540" w:type="dxa"/>
            <w:tcBorders>
              <w:top w:val="single" w:sz="8" w:space="0" w:color="auto"/>
              <w:left w:val="single" w:sz="8" w:space="0" w:color="auto"/>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62</w:t>
            </w:r>
          </w:p>
        </w:tc>
        <w:tc>
          <w:tcPr>
            <w:tcW w:w="540" w:type="dxa"/>
            <w:tcBorders>
              <w:top w:val="single" w:sz="8" w:space="0" w:color="auto"/>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59</w:t>
            </w:r>
          </w:p>
        </w:tc>
        <w:tc>
          <w:tcPr>
            <w:tcW w:w="560" w:type="dxa"/>
            <w:tcBorders>
              <w:top w:val="single" w:sz="8" w:space="0" w:color="auto"/>
              <w:left w:val="nil"/>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50</w:t>
            </w:r>
          </w:p>
        </w:tc>
        <w:tc>
          <w:tcPr>
            <w:tcW w:w="560" w:type="dxa"/>
            <w:tcBorders>
              <w:top w:val="single" w:sz="8" w:space="0" w:color="auto"/>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40</w:t>
            </w:r>
          </w:p>
        </w:tc>
        <w:tc>
          <w:tcPr>
            <w:tcW w:w="820" w:type="dxa"/>
            <w:tcBorders>
              <w:top w:val="single" w:sz="8" w:space="0" w:color="auto"/>
              <w:left w:val="nil"/>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43</w:t>
            </w:r>
          </w:p>
        </w:tc>
        <w:tc>
          <w:tcPr>
            <w:tcW w:w="820" w:type="dxa"/>
            <w:tcBorders>
              <w:top w:val="single" w:sz="8" w:space="0" w:color="auto"/>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24</w:t>
            </w:r>
          </w:p>
        </w:tc>
      </w:tr>
      <w:tr w:rsidR="002348C5" w:rsidRPr="002348C5" w:rsidTr="002348C5">
        <w:trPr>
          <w:trHeight w:val="255"/>
        </w:trPr>
        <w:tc>
          <w:tcPr>
            <w:tcW w:w="4700" w:type="dxa"/>
            <w:tcBorders>
              <w:top w:val="nil"/>
              <w:left w:val="single" w:sz="8" w:space="0" w:color="auto"/>
              <w:bottom w:val="single" w:sz="8" w:space="0" w:color="auto"/>
              <w:right w:val="single" w:sz="4" w:space="0" w:color="auto"/>
            </w:tcBorders>
            <w:shd w:val="clear" w:color="000000" w:fill="D7E4BC"/>
            <w:noWrap/>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 </w:t>
            </w:r>
          </w:p>
        </w:tc>
        <w:tc>
          <w:tcPr>
            <w:tcW w:w="700" w:type="dxa"/>
            <w:tcBorders>
              <w:top w:val="nil"/>
              <w:left w:val="nil"/>
              <w:bottom w:val="single" w:sz="8" w:space="0" w:color="auto"/>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bra</w:t>
            </w:r>
          </w:p>
        </w:tc>
        <w:tc>
          <w:tcPr>
            <w:tcW w:w="540" w:type="dxa"/>
            <w:tcBorders>
              <w:top w:val="nil"/>
              <w:left w:val="single" w:sz="8" w:space="0" w:color="auto"/>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3</w:t>
            </w:r>
          </w:p>
        </w:tc>
        <w:tc>
          <w:tcPr>
            <w:tcW w:w="54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34</w:t>
            </w:r>
          </w:p>
        </w:tc>
        <w:tc>
          <w:tcPr>
            <w:tcW w:w="560" w:type="dxa"/>
            <w:tcBorders>
              <w:top w:val="nil"/>
              <w:left w:val="nil"/>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41</w:t>
            </w:r>
          </w:p>
        </w:tc>
        <w:tc>
          <w:tcPr>
            <w:tcW w:w="56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48</w:t>
            </w:r>
          </w:p>
        </w:tc>
        <w:tc>
          <w:tcPr>
            <w:tcW w:w="820" w:type="dxa"/>
            <w:tcBorders>
              <w:top w:val="nil"/>
              <w:left w:val="nil"/>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47</w:t>
            </w:r>
          </w:p>
        </w:tc>
        <w:tc>
          <w:tcPr>
            <w:tcW w:w="82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52</w:t>
            </w:r>
          </w:p>
        </w:tc>
      </w:tr>
      <w:tr w:rsidR="002348C5" w:rsidRPr="002348C5" w:rsidTr="002348C5">
        <w:trPr>
          <w:trHeight w:val="255"/>
        </w:trPr>
        <w:tc>
          <w:tcPr>
            <w:tcW w:w="4700" w:type="dxa"/>
            <w:tcBorders>
              <w:top w:val="nil"/>
              <w:left w:val="single" w:sz="8" w:space="0" w:color="auto"/>
              <w:bottom w:val="single" w:sz="4" w:space="0" w:color="auto"/>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Jag har de senaste 3 månaderna känt mig ledsen eller nedstämd</w:t>
            </w:r>
          </w:p>
        </w:tc>
        <w:tc>
          <w:tcPr>
            <w:tcW w:w="700" w:type="dxa"/>
            <w:tcBorders>
              <w:top w:val="nil"/>
              <w:left w:val="nil"/>
              <w:bottom w:val="single" w:sz="4" w:space="0" w:color="auto"/>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alltid</w:t>
            </w:r>
          </w:p>
        </w:tc>
        <w:tc>
          <w:tcPr>
            <w:tcW w:w="540" w:type="dxa"/>
            <w:tcBorders>
              <w:top w:val="nil"/>
              <w:left w:val="single" w:sz="8" w:space="0" w:color="auto"/>
              <w:bottom w:val="single" w:sz="4" w:space="0" w:color="auto"/>
              <w:right w:val="single" w:sz="4" w:space="0" w:color="auto"/>
            </w:tcBorders>
            <w:shd w:val="clear" w:color="000000" w:fill="D7E4BC"/>
            <w:noWrap/>
            <w:vAlign w:val="bottom"/>
            <w:hideMark/>
          </w:tcPr>
          <w:p w:rsidR="002348C5" w:rsidRPr="002348C5" w:rsidRDefault="002348C5" w:rsidP="002348C5">
            <w:pPr>
              <w:rPr>
                <w:rFonts w:ascii="Arial" w:hAnsi="Arial" w:cs="Arial"/>
                <w:color w:val="000000"/>
                <w:sz w:val="20"/>
              </w:rPr>
            </w:pPr>
            <w:r w:rsidRPr="002348C5">
              <w:rPr>
                <w:rFonts w:ascii="Arial" w:hAnsi="Arial" w:cs="Arial"/>
                <w:color w:val="000000"/>
                <w:sz w:val="20"/>
              </w:rPr>
              <w:t> </w:t>
            </w:r>
          </w:p>
        </w:tc>
        <w:tc>
          <w:tcPr>
            <w:tcW w:w="54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rPr>
                <w:rFonts w:ascii="Arial" w:hAnsi="Arial" w:cs="Arial"/>
                <w:color w:val="000000"/>
                <w:sz w:val="20"/>
              </w:rPr>
            </w:pPr>
            <w:r w:rsidRPr="002348C5">
              <w:rPr>
                <w:rFonts w:ascii="Arial" w:hAnsi="Arial" w:cs="Arial"/>
                <w:color w:val="000000"/>
                <w:sz w:val="20"/>
              </w:rPr>
              <w:t> </w:t>
            </w:r>
          </w:p>
        </w:tc>
        <w:tc>
          <w:tcPr>
            <w:tcW w:w="560" w:type="dxa"/>
            <w:tcBorders>
              <w:top w:val="nil"/>
              <w:left w:val="nil"/>
              <w:bottom w:val="single" w:sz="4" w:space="0" w:color="auto"/>
              <w:right w:val="single" w:sz="4" w:space="0" w:color="auto"/>
            </w:tcBorders>
            <w:shd w:val="clear" w:color="000000" w:fill="D7E4BC"/>
            <w:noWrap/>
            <w:vAlign w:val="bottom"/>
            <w:hideMark/>
          </w:tcPr>
          <w:p w:rsidR="002348C5" w:rsidRPr="002348C5" w:rsidRDefault="002348C5" w:rsidP="002348C5">
            <w:pPr>
              <w:rPr>
                <w:rFonts w:ascii="Arial" w:hAnsi="Arial" w:cs="Arial"/>
                <w:color w:val="000000"/>
                <w:sz w:val="20"/>
              </w:rPr>
            </w:pPr>
            <w:r w:rsidRPr="002348C5">
              <w:rPr>
                <w:rFonts w:ascii="Arial" w:hAnsi="Arial" w:cs="Arial"/>
                <w:color w:val="000000"/>
                <w:sz w:val="20"/>
              </w:rPr>
              <w:t> </w:t>
            </w:r>
          </w:p>
        </w:tc>
        <w:tc>
          <w:tcPr>
            <w:tcW w:w="56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1</w:t>
            </w:r>
          </w:p>
        </w:tc>
        <w:tc>
          <w:tcPr>
            <w:tcW w:w="820" w:type="dxa"/>
            <w:tcBorders>
              <w:top w:val="nil"/>
              <w:left w:val="nil"/>
              <w:bottom w:val="single" w:sz="4" w:space="0" w:color="auto"/>
              <w:right w:val="single" w:sz="4" w:space="0" w:color="auto"/>
            </w:tcBorders>
            <w:shd w:val="clear" w:color="000000" w:fill="D7E4BC"/>
            <w:noWrap/>
            <w:vAlign w:val="bottom"/>
            <w:hideMark/>
          </w:tcPr>
          <w:p w:rsidR="002348C5" w:rsidRPr="002348C5" w:rsidRDefault="002348C5" w:rsidP="002348C5">
            <w:pPr>
              <w:rPr>
                <w:rFonts w:ascii="Arial" w:hAnsi="Arial" w:cs="Arial"/>
                <w:color w:val="000000"/>
                <w:sz w:val="20"/>
              </w:rPr>
            </w:pPr>
            <w:r w:rsidRPr="002348C5">
              <w:rPr>
                <w:rFonts w:ascii="Arial" w:hAnsi="Arial" w:cs="Arial"/>
                <w:color w:val="000000"/>
                <w:sz w:val="20"/>
              </w:rPr>
              <w:t> </w:t>
            </w:r>
          </w:p>
        </w:tc>
        <w:tc>
          <w:tcPr>
            <w:tcW w:w="82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w:t>
            </w:r>
          </w:p>
        </w:tc>
      </w:tr>
      <w:tr w:rsidR="002348C5" w:rsidRPr="002348C5" w:rsidTr="002348C5">
        <w:trPr>
          <w:trHeight w:val="255"/>
        </w:trPr>
        <w:tc>
          <w:tcPr>
            <w:tcW w:w="4700" w:type="dxa"/>
            <w:tcBorders>
              <w:top w:val="nil"/>
              <w:left w:val="single" w:sz="8" w:space="0" w:color="auto"/>
              <w:bottom w:val="single" w:sz="4" w:space="0" w:color="auto"/>
              <w:right w:val="single" w:sz="4" w:space="0" w:color="auto"/>
            </w:tcBorders>
            <w:shd w:val="clear" w:color="000000" w:fill="D7E4BC"/>
            <w:noWrap/>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 </w:t>
            </w:r>
          </w:p>
        </w:tc>
        <w:tc>
          <w:tcPr>
            <w:tcW w:w="700" w:type="dxa"/>
            <w:tcBorders>
              <w:top w:val="nil"/>
              <w:left w:val="nil"/>
              <w:bottom w:val="single" w:sz="4" w:space="0" w:color="auto"/>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ofta</w:t>
            </w:r>
          </w:p>
        </w:tc>
        <w:tc>
          <w:tcPr>
            <w:tcW w:w="540" w:type="dxa"/>
            <w:tcBorders>
              <w:top w:val="nil"/>
              <w:left w:val="single" w:sz="8" w:space="0" w:color="auto"/>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w:t>
            </w:r>
          </w:p>
        </w:tc>
        <w:tc>
          <w:tcPr>
            <w:tcW w:w="54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w:t>
            </w:r>
          </w:p>
        </w:tc>
        <w:tc>
          <w:tcPr>
            <w:tcW w:w="560" w:type="dxa"/>
            <w:tcBorders>
              <w:top w:val="nil"/>
              <w:left w:val="nil"/>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9</w:t>
            </w:r>
          </w:p>
        </w:tc>
        <w:tc>
          <w:tcPr>
            <w:tcW w:w="56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6</w:t>
            </w:r>
          </w:p>
        </w:tc>
        <w:tc>
          <w:tcPr>
            <w:tcW w:w="820" w:type="dxa"/>
            <w:tcBorders>
              <w:top w:val="nil"/>
              <w:left w:val="nil"/>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4</w:t>
            </w:r>
          </w:p>
        </w:tc>
        <w:tc>
          <w:tcPr>
            <w:tcW w:w="82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18</w:t>
            </w:r>
          </w:p>
        </w:tc>
      </w:tr>
      <w:tr w:rsidR="002348C5" w:rsidRPr="002348C5" w:rsidTr="002348C5">
        <w:trPr>
          <w:trHeight w:val="255"/>
        </w:trPr>
        <w:tc>
          <w:tcPr>
            <w:tcW w:w="4700" w:type="dxa"/>
            <w:tcBorders>
              <w:top w:val="nil"/>
              <w:left w:val="single" w:sz="8" w:space="0" w:color="auto"/>
              <w:bottom w:val="single" w:sz="8" w:space="0" w:color="auto"/>
              <w:right w:val="single" w:sz="4" w:space="0" w:color="auto"/>
            </w:tcBorders>
            <w:shd w:val="clear" w:color="000000" w:fill="D7E4BC"/>
            <w:noWrap/>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 </w:t>
            </w:r>
          </w:p>
        </w:tc>
        <w:tc>
          <w:tcPr>
            <w:tcW w:w="700" w:type="dxa"/>
            <w:tcBorders>
              <w:top w:val="nil"/>
              <w:left w:val="nil"/>
              <w:bottom w:val="single" w:sz="8" w:space="0" w:color="auto"/>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ibland</w:t>
            </w:r>
          </w:p>
        </w:tc>
        <w:tc>
          <w:tcPr>
            <w:tcW w:w="540" w:type="dxa"/>
            <w:tcBorders>
              <w:top w:val="nil"/>
              <w:left w:val="single" w:sz="8" w:space="0" w:color="auto"/>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9</w:t>
            </w:r>
          </w:p>
        </w:tc>
        <w:tc>
          <w:tcPr>
            <w:tcW w:w="54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15</w:t>
            </w:r>
          </w:p>
        </w:tc>
        <w:tc>
          <w:tcPr>
            <w:tcW w:w="560" w:type="dxa"/>
            <w:tcBorders>
              <w:top w:val="nil"/>
              <w:left w:val="nil"/>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w:t>
            </w:r>
          </w:p>
        </w:tc>
        <w:tc>
          <w:tcPr>
            <w:tcW w:w="56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25</w:t>
            </w:r>
          </w:p>
        </w:tc>
        <w:tc>
          <w:tcPr>
            <w:tcW w:w="820" w:type="dxa"/>
            <w:tcBorders>
              <w:top w:val="nil"/>
              <w:left w:val="nil"/>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13</w:t>
            </w:r>
          </w:p>
        </w:tc>
        <w:tc>
          <w:tcPr>
            <w:tcW w:w="82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35</w:t>
            </w:r>
          </w:p>
        </w:tc>
      </w:tr>
      <w:tr w:rsidR="002348C5" w:rsidRPr="002348C5" w:rsidTr="002348C5">
        <w:trPr>
          <w:trHeight w:val="255"/>
        </w:trPr>
        <w:tc>
          <w:tcPr>
            <w:tcW w:w="4700" w:type="dxa"/>
            <w:tcBorders>
              <w:top w:val="nil"/>
              <w:left w:val="single" w:sz="8" w:space="0" w:color="auto"/>
              <w:bottom w:val="single" w:sz="4" w:space="0" w:color="auto"/>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Jag har de senaste 3 månaderna känt mig orolig eller rädd</w:t>
            </w:r>
          </w:p>
        </w:tc>
        <w:tc>
          <w:tcPr>
            <w:tcW w:w="700" w:type="dxa"/>
            <w:tcBorders>
              <w:top w:val="nil"/>
              <w:left w:val="nil"/>
              <w:bottom w:val="single" w:sz="4" w:space="0" w:color="auto"/>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aldrig</w:t>
            </w:r>
          </w:p>
        </w:tc>
        <w:tc>
          <w:tcPr>
            <w:tcW w:w="540" w:type="dxa"/>
            <w:tcBorders>
              <w:top w:val="nil"/>
              <w:left w:val="single" w:sz="8" w:space="0" w:color="auto"/>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74</w:t>
            </w:r>
          </w:p>
        </w:tc>
        <w:tc>
          <w:tcPr>
            <w:tcW w:w="54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65</w:t>
            </w:r>
          </w:p>
        </w:tc>
        <w:tc>
          <w:tcPr>
            <w:tcW w:w="560" w:type="dxa"/>
            <w:tcBorders>
              <w:top w:val="nil"/>
              <w:left w:val="nil"/>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70</w:t>
            </w:r>
          </w:p>
        </w:tc>
        <w:tc>
          <w:tcPr>
            <w:tcW w:w="56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50</w:t>
            </w:r>
          </w:p>
        </w:tc>
        <w:tc>
          <w:tcPr>
            <w:tcW w:w="820" w:type="dxa"/>
            <w:tcBorders>
              <w:top w:val="nil"/>
              <w:left w:val="nil"/>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71</w:t>
            </w:r>
          </w:p>
        </w:tc>
        <w:tc>
          <w:tcPr>
            <w:tcW w:w="82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38</w:t>
            </w:r>
          </w:p>
        </w:tc>
      </w:tr>
      <w:tr w:rsidR="002348C5" w:rsidRPr="002348C5" w:rsidTr="002348C5">
        <w:trPr>
          <w:trHeight w:val="255"/>
        </w:trPr>
        <w:tc>
          <w:tcPr>
            <w:tcW w:w="4700" w:type="dxa"/>
            <w:tcBorders>
              <w:top w:val="nil"/>
              <w:left w:val="single" w:sz="8" w:space="0" w:color="auto"/>
              <w:bottom w:val="single" w:sz="8" w:space="0" w:color="auto"/>
              <w:right w:val="single" w:sz="4" w:space="0" w:color="auto"/>
            </w:tcBorders>
            <w:shd w:val="clear" w:color="000000" w:fill="D7E4BC"/>
            <w:noWrap/>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 </w:t>
            </w:r>
          </w:p>
        </w:tc>
        <w:tc>
          <w:tcPr>
            <w:tcW w:w="700" w:type="dxa"/>
            <w:tcBorders>
              <w:top w:val="nil"/>
              <w:left w:val="nil"/>
              <w:bottom w:val="single" w:sz="8" w:space="0" w:color="auto"/>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sällan</w:t>
            </w:r>
          </w:p>
        </w:tc>
        <w:tc>
          <w:tcPr>
            <w:tcW w:w="540" w:type="dxa"/>
            <w:tcBorders>
              <w:top w:val="nil"/>
              <w:left w:val="single" w:sz="8" w:space="0" w:color="auto"/>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19</w:t>
            </w:r>
          </w:p>
        </w:tc>
        <w:tc>
          <w:tcPr>
            <w:tcW w:w="54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21</w:t>
            </w:r>
          </w:p>
        </w:tc>
        <w:tc>
          <w:tcPr>
            <w:tcW w:w="560" w:type="dxa"/>
            <w:tcBorders>
              <w:top w:val="nil"/>
              <w:left w:val="nil"/>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24</w:t>
            </w:r>
          </w:p>
        </w:tc>
        <w:tc>
          <w:tcPr>
            <w:tcW w:w="56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35</w:t>
            </w:r>
          </w:p>
        </w:tc>
        <w:tc>
          <w:tcPr>
            <w:tcW w:w="820" w:type="dxa"/>
            <w:tcBorders>
              <w:top w:val="nil"/>
              <w:left w:val="nil"/>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22</w:t>
            </w:r>
          </w:p>
        </w:tc>
        <w:tc>
          <w:tcPr>
            <w:tcW w:w="82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32</w:t>
            </w:r>
          </w:p>
        </w:tc>
      </w:tr>
      <w:tr w:rsidR="002348C5" w:rsidRPr="002348C5" w:rsidTr="002348C5">
        <w:trPr>
          <w:trHeight w:val="255"/>
        </w:trPr>
        <w:tc>
          <w:tcPr>
            <w:tcW w:w="4700" w:type="dxa"/>
            <w:tcBorders>
              <w:top w:val="nil"/>
              <w:left w:val="single" w:sz="8" w:space="0" w:color="auto"/>
              <w:bottom w:val="single" w:sz="4" w:space="0" w:color="auto"/>
              <w:right w:val="single" w:sz="4" w:space="0" w:color="auto"/>
            </w:tcBorders>
            <w:shd w:val="clear" w:color="000000" w:fill="D7E4BC"/>
            <w:noWrap/>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Jag sover bra</w:t>
            </w:r>
          </w:p>
        </w:tc>
        <w:tc>
          <w:tcPr>
            <w:tcW w:w="700" w:type="dxa"/>
            <w:tcBorders>
              <w:top w:val="nil"/>
              <w:left w:val="nil"/>
              <w:bottom w:val="single" w:sz="4" w:space="0" w:color="auto"/>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alltid</w:t>
            </w:r>
          </w:p>
        </w:tc>
        <w:tc>
          <w:tcPr>
            <w:tcW w:w="540" w:type="dxa"/>
            <w:tcBorders>
              <w:top w:val="nil"/>
              <w:left w:val="single" w:sz="8" w:space="0" w:color="auto"/>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46</w:t>
            </w:r>
          </w:p>
        </w:tc>
        <w:tc>
          <w:tcPr>
            <w:tcW w:w="54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43</w:t>
            </w:r>
          </w:p>
        </w:tc>
        <w:tc>
          <w:tcPr>
            <w:tcW w:w="560" w:type="dxa"/>
            <w:tcBorders>
              <w:top w:val="nil"/>
              <w:left w:val="nil"/>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31</w:t>
            </w:r>
          </w:p>
        </w:tc>
        <w:tc>
          <w:tcPr>
            <w:tcW w:w="56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24</w:t>
            </w:r>
          </w:p>
        </w:tc>
        <w:tc>
          <w:tcPr>
            <w:tcW w:w="820" w:type="dxa"/>
            <w:tcBorders>
              <w:top w:val="nil"/>
              <w:left w:val="nil"/>
              <w:bottom w:val="single" w:sz="4"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27</w:t>
            </w:r>
          </w:p>
        </w:tc>
        <w:tc>
          <w:tcPr>
            <w:tcW w:w="820" w:type="dxa"/>
            <w:tcBorders>
              <w:top w:val="nil"/>
              <w:left w:val="nil"/>
              <w:bottom w:val="single" w:sz="4"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22</w:t>
            </w:r>
          </w:p>
        </w:tc>
      </w:tr>
      <w:tr w:rsidR="002348C5" w:rsidRPr="002348C5" w:rsidTr="002348C5">
        <w:trPr>
          <w:trHeight w:val="255"/>
        </w:trPr>
        <w:tc>
          <w:tcPr>
            <w:tcW w:w="4700" w:type="dxa"/>
            <w:tcBorders>
              <w:top w:val="nil"/>
              <w:left w:val="single" w:sz="8" w:space="0" w:color="auto"/>
              <w:bottom w:val="single" w:sz="8" w:space="0" w:color="auto"/>
              <w:right w:val="single" w:sz="4" w:space="0" w:color="auto"/>
            </w:tcBorders>
            <w:shd w:val="clear" w:color="000000" w:fill="D7E4BC"/>
            <w:noWrap/>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 </w:t>
            </w:r>
          </w:p>
        </w:tc>
        <w:tc>
          <w:tcPr>
            <w:tcW w:w="700" w:type="dxa"/>
            <w:tcBorders>
              <w:top w:val="nil"/>
              <w:left w:val="nil"/>
              <w:bottom w:val="single" w:sz="8" w:space="0" w:color="auto"/>
              <w:right w:val="single" w:sz="4" w:space="0" w:color="auto"/>
            </w:tcBorders>
            <w:shd w:val="clear" w:color="000000" w:fill="D7E4BC"/>
            <w:vAlign w:val="bottom"/>
            <w:hideMark/>
          </w:tcPr>
          <w:p w:rsidR="002348C5" w:rsidRPr="002348C5" w:rsidRDefault="002348C5" w:rsidP="002348C5">
            <w:pPr>
              <w:rPr>
                <w:rFonts w:ascii="Arial Narrow" w:hAnsi="Arial Narrow" w:cs="Arial"/>
                <w:b/>
                <w:bCs/>
                <w:color w:val="000000"/>
                <w:sz w:val="20"/>
              </w:rPr>
            </w:pPr>
            <w:r w:rsidRPr="002348C5">
              <w:rPr>
                <w:rFonts w:ascii="Arial Narrow" w:hAnsi="Arial Narrow" w:cs="Arial"/>
                <w:b/>
                <w:bCs/>
                <w:color w:val="000000"/>
                <w:sz w:val="20"/>
              </w:rPr>
              <w:t>ofta</w:t>
            </w:r>
          </w:p>
        </w:tc>
        <w:tc>
          <w:tcPr>
            <w:tcW w:w="540" w:type="dxa"/>
            <w:tcBorders>
              <w:top w:val="nil"/>
              <w:left w:val="single" w:sz="8" w:space="0" w:color="auto"/>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40</w:t>
            </w:r>
          </w:p>
        </w:tc>
        <w:tc>
          <w:tcPr>
            <w:tcW w:w="54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43</w:t>
            </w:r>
          </w:p>
        </w:tc>
        <w:tc>
          <w:tcPr>
            <w:tcW w:w="560" w:type="dxa"/>
            <w:tcBorders>
              <w:top w:val="nil"/>
              <w:left w:val="nil"/>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54</w:t>
            </w:r>
          </w:p>
        </w:tc>
        <w:tc>
          <w:tcPr>
            <w:tcW w:w="56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54</w:t>
            </w:r>
          </w:p>
        </w:tc>
        <w:tc>
          <w:tcPr>
            <w:tcW w:w="820" w:type="dxa"/>
            <w:tcBorders>
              <w:top w:val="nil"/>
              <w:left w:val="nil"/>
              <w:bottom w:val="single" w:sz="8" w:space="0" w:color="auto"/>
              <w:right w:val="single" w:sz="4"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46</w:t>
            </w:r>
          </w:p>
        </w:tc>
        <w:tc>
          <w:tcPr>
            <w:tcW w:w="820" w:type="dxa"/>
            <w:tcBorders>
              <w:top w:val="nil"/>
              <w:left w:val="nil"/>
              <w:bottom w:val="single" w:sz="8" w:space="0" w:color="auto"/>
              <w:right w:val="single" w:sz="8" w:space="0" w:color="auto"/>
            </w:tcBorders>
            <w:shd w:val="clear" w:color="000000" w:fill="D7E4BC"/>
            <w:noWrap/>
            <w:vAlign w:val="bottom"/>
            <w:hideMark/>
          </w:tcPr>
          <w:p w:rsidR="002348C5" w:rsidRPr="002348C5" w:rsidRDefault="002348C5" w:rsidP="002348C5">
            <w:pPr>
              <w:jc w:val="right"/>
              <w:rPr>
                <w:rFonts w:ascii="Arial" w:hAnsi="Arial" w:cs="Arial"/>
                <w:color w:val="000000"/>
                <w:sz w:val="20"/>
              </w:rPr>
            </w:pPr>
            <w:r w:rsidRPr="002348C5">
              <w:rPr>
                <w:rFonts w:ascii="Arial" w:hAnsi="Arial" w:cs="Arial"/>
                <w:color w:val="000000"/>
                <w:sz w:val="20"/>
              </w:rPr>
              <w:t>50</w:t>
            </w:r>
          </w:p>
        </w:tc>
      </w:tr>
    </w:tbl>
    <w:p w:rsidR="002348C5" w:rsidRDefault="002348C5" w:rsidP="005F6F26">
      <w:pPr>
        <w:pStyle w:val="Brdtext"/>
      </w:pPr>
    </w:p>
    <w:p w:rsidR="002D5434" w:rsidRDefault="002D5434" w:rsidP="005F6F26">
      <w:pPr>
        <w:pStyle w:val="Brd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804"/>
        <w:gridCol w:w="4820"/>
      </w:tblGrid>
      <w:tr w:rsidR="002D5434" w:rsidRPr="002D5434" w:rsidTr="002D5434">
        <w:tc>
          <w:tcPr>
            <w:tcW w:w="3510" w:type="dxa"/>
            <w:vAlign w:val="center"/>
          </w:tcPr>
          <w:p w:rsidR="002D5434" w:rsidRPr="002D5434" w:rsidRDefault="002D5434" w:rsidP="002D5434">
            <w:pPr>
              <w:pStyle w:val="Brdtext"/>
              <w:rPr>
                <w:b/>
              </w:rPr>
            </w:pPr>
            <w:r w:rsidRPr="002D5434">
              <w:rPr>
                <w:b/>
              </w:rPr>
              <w:t>Indikator</w:t>
            </w:r>
          </w:p>
        </w:tc>
        <w:tc>
          <w:tcPr>
            <w:tcW w:w="6804" w:type="dxa"/>
            <w:vAlign w:val="center"/>
          </w:tcPr>
          <w:p w:rsidR="002D5434" w:rsidRPr="002D5434" w:rsidRDefault="002D5434" w:rsidP="002D5434">
            <w:pPr>
              <w:pStyle w:val="Brdtext"/>
              <w:rPr>
                <w:b/>
              </w:rPr>
            </w:pPr>
            <w:r w:rsidRPr="002D5434">
              <w:rPr>
                <w:b/>
              </w:rPr>
              <w:t>Förklaring</w:t>
            </w:r>
          </w:p>
        </w:tc>
        <w:tc>
          <w:tcPr>
            <w:tcW w:w="4820" w:type="dxa"/>
            <w:vAlign w:val="center"/>
          </w:tcPr>
          <w:p w:rsidR="002D5434" w:rsidRPr="002D5434" w:rsidRDefault="002D5434" w:rsidP="002D5434">
            <w:pPr>
              <w:pStyle w:val="Brdtext"/>
              <w:rPr>
                <w:b/>
              </w:rPr>
            </w:pPr>
            <w:r w:rsidRPr="002D5434">
              <w:rPr>
                <w:b/>
              </w:rPr>
              <w:t>Källa</w:t>
            </w:r>
          </w:p>
        </w:tc>
      </w:tr>
      <w:tr w:rsidR="002D5434" w:rsidRPr="002D5434" w:rsidTr="002D5434">
        <w:tc>
          <w:tcPr>
            <w:tcW w:w="3510" w:type="dxa"/>
            <w:vAlign w:val="center"/>
          </w:tcPr>
          <w:p w:rsidR="002D5434" w:rsidRPr="002D5434" w:rsidRDefault="002D5434" w:rsidP="002D5434">
            <w:pPr>
              <w:pStyle w:val="Brdtext"/>
            </w:pPr>
            <w:r w:rsidRPr="002D5434">
              <w:t xml:space="preserve">Arbetslöshet </w:t>
            </w:r>
          </w:p>
        </w:tc>
        <w:tc>
          <w:tcPr>
            <w:tcW w:w="6804" w:type="dxa"/>
            <w:vAlign w:val="center"/>
          </w:tcPr>
          <w:p w:rsidR="002D5434" w:rsidRPr="002D5434" w:rsidRDefault="002D5434" w:rsidP="002D5434">
            <w:pPr>
              <w:pStyle w:val="Brdtext"/>
            </w:pPr>
            <w:r w:rsidRPr="002D5434">
              <w:t>Andel öp</w:t>
            </w:r>
            <w:r w:rsidR="00A84F89">
              <w:t>pet arbetslösa,</w:t>
            </w:r>
          </w:p>
        </w:tc>
        <w:tc>
          <w:tcPr>
            <w:tcW w:w="4820" w:type="dxa"/>
            <w:vAlign w:val="center"/>
          </w:tcPr>
          <w:p w:rsidR="002D5434" w:rsidRPr="002D5434" w:rsidRDefault="002D5434" w:rsidP="002D5434">
            <w:pPr>
              <w:pStyle w:val="Brdtext"/>
            </w:pPr>
            <w:r w:rsidRPr="002D5434">
              <w:t xml:space="preserve">Arbetsförmedlingen </w:t>
            </w:r>
          </w:p>
        </w:tc>
      </w:tr>
      <w:tr w:rsidR="002D5434" w:rsidRPr="002D5434" w:rsidTr="002D5434">
        <w:tc>
          <w:tcPr>
            <w:tcW w:w="3510" w:type="dxa"/>
            <w:vAlign w:val="center"/>
          </w:tcPr>
          <w:p w:rsidR="002D5434" w:rsidRPr="002D5434" w:rsidRDefault="002D5434" w:rsidP="002D5434">
            <w:pPr>
              <w:pStyle w:val="Brdtext"/>
            </w:pPr>
            <w:r w:rsidRPr="002D5434">
              <w:t>Sjukskrivningsdagar</w:t>
            </w:r>
          </w:p>
        </w:tc>
        <w:tc>
          <w:tcPr>
            <w:tcW w:w="6804" w:type="dxa"/>
            <w:vAlign w:val="center"/>
          </w:tcPr>
          <w:p w:rsidR="002D5434" w:rsidRPr="002D5434" w:rsidRDefault="002D5434" w:rsidP="002D5434">
            <w:pPr>
              <w:pStyle w:val="Brdtext"/>
            </w:pPr>
            <w:r w:rsidRPr="002D5434">
              <w:t>Sjukskrivningsdagar per kön/ko</w:t>
            </w:r>
            <w:r w:rsidR="00A84F89">
              <w:t xml:space="preserve">mmun, län och riket </w:t>
            </w:r>
          </w:p>
        </w:tc>
        <w:tc>
          <w:tcPr>
            <w:tcW w:w="4820" w:type="dxa"/>
            <w:vAlign w:val="center"/>
          </w:tcPr>
          <w:p w:rsidR="002D5434" w:rsidRPr="002D5434" w:rsidRDefault="002D5434" w:rsidP="002D5434">
            <w:pPr>
              <w:pStyle w:val="Brdtext"/>
            </w:pPr>
            <w:r w:rsidRPr="002D5434">
              <w:t>Försäkringskassan</w:t>
            </w:r>
          </w:p>
        </w:tc>
      </w:tr>
    </w:tbl>
    <w:p w:rsidR="002D5434" w:rsidRDefault="002D5434" w:rsidP="005F6F26">
      <w:pPr>
        <w:pStyle w:val="Brdtext"/>
      </w:pPr>
    </w:p>
    <w:p w:rsidR="00A84F89" w:rsidRDefault="00A84F89" w:rsidP="005F6F26">
      <w:pPr>
        <w:pStyle w:val="Brdtext"/>
      </w:pPr>
      <w:r w:rsidRPr="00A84F89">
        <w:rPr>
          <w:noProof/>
        </w:rPr>
        <w:drawing>
          <wp:inline distT="0" distB="0" distL="0" distR="0">
            <wp:extent cx="9503410" cy="995268"/>
            <wp:effectExtent l="19050" t="0" r="254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9503410" cy="995268"/>
                    </a:xfrm>
                    <a:prstGeom prst="rect">
                      <a:avLst/>
                    </a:prstGeom>
                    <a:noFill/>
                    <a:ln w="9525">
                      <a:noFill/>
                      <a:miter lim="800000"/>
                      <a:headEnd/>
                      <a:tailEnd/>
                    </a:ln>
                  </pic:spPr>
                </pic:pic>
              </a:graphicData>
            </a:graphic>
          </wp:inline>
        </w:drawing>
      </w:r>
      <w:r w:rsidR="002348C5">
        <w:tab/>
      </w:r>
      <w:r w:rsidR="002348C5">
        <w:tab/>
      </w:r>
      <w:r w:rsidR="002348C5">
        <w:tab/>
      </w:r>
      <w:r w:rsidR="002348C5">
        <w:tab/>
      </w:r>
      <w:r w:rsidR="002348C5">
        <w:tab/>
      </w:r>
      <w:r w:rsidR="00BC377E">
        <w:tab/>
      </w:r>
      <w:r w:rsidR="00BC377E">
        <w:tab/>
      </w:r>
      <w:r w:rsidR="00BC377E">
        <w:tab/>
      </w:r>
      <w:r w:rsidR="00BC377E">
        <w:tab/>
      </w:r>
    </w:p>
    <w:p w:rsidR="00A84F89" w:rsidRDefault="00A84F89" w:rsidP="005F6F26">
      <w:pPr>
        <w:pStyle w:val="Brdtext"/>
      </w:pPr>
    </w:p>
    <w:p w:rsidR="00A84F89" w:rsidRDefault="00A84F89" w:rsidP="005F6F26">
      <w:pPr>
        <w:pStyle w:val="Brdtext"/>
      </w:pPr>
    </w:p>
    <w:p w:rsidR="003224F8" w:rsidRDefault="00C03900" w:rsidP="005F6F26">
      <w:pPr>
        <w:pStyle w:val="Brdtext"/>
      </w:pPr>
      <w:r>
        <w:lastRenderedPageBreak/>
        <w:tab/>
      </w:r>
    </w:p>
    <w:p w:rsidR="004455EE" w:rsidRPr="00C03900" w:rsidRDefault="00C03900" w:rsidP="003224F8">
      <w:pPr>
        <w:pStyle w:val="Brdtext"/>
        <w:ind w:left="10432" w:firstLine="1304"/>
        <w:rPr>
          <w:b/>
        </w:rPr>
      </w:pPr>
      <w:r w:rsidRPr="00C03900">
        <w:rPr>
          <w:b/>
        </w:rPr>
        <w:t>B</w:t>
      </w:r>
      <w:r>
        <w:rPr>
          <w:b/>
        </w:rPr>
        <w:t>ILAGA</w:t>
      </w:r>
      <w:r w:rsidRPr="00C03900">
        <w:rPr>
          <w:b/>
        </w:rPr>
        <w:t xml:space="preserve"> 2</w:t>
      </w:r>
    </w:p>
    <w:p w:rsidR="004455EE" w:rsidRPr="00C03900" w:rsidRDefault="00C03900" w:rsidP="005F6F26">
      <w:pPr>
        <w:pStyle w:val="Brdtext"/>
        <w:rPr>
          <w:b/>
        </w:rPr>
      </w:pPr>
      <w:r w:rsidRPr="00C03900">
        <w:rPr>
          <w:b/>
          <w:sz w:val="32"/>
        </w:rPr>
        <w:t>Sammanfattning av Öppna Jämförelser 2012 – Kvalitet i vården</w:t>
      </w:r>
      <w:r w:rsidR="004455EE" w:rsidRPr="00C03900">
        <w:rPr>
          <w:b/>
          <w:sz w:val="32"/>
        </w:rPr>
        <w:tab/>
      </w:r>
      <w:r w:rsidR="004455EE" w:rsidRPr="00C03900">
        <w:rPr>
          <w:b/>
          <w:sz w:val="32"/>
        </w:rPr>
        <w:tab/>
      </w:r>
      <w:r w:rsidR="004455EE" w:rsidRPr="00C03900">
        <w:rPr>
          <w:b/>
          <w:sz w:val="32"/>
        </w:rPr>
        <w:tab/>
      </w:r>
      <w:r w:rsidR="004455EE" w:rsidRPr="00C03900">
        <w:rPr>
          <w:b/>
        </w:rPr>
        <w:tab/>
      </w:r>
      <w:r w:rsidR="004455EE" w:rsidRPr="00C03900">
        <w:rPr>
          <w:b/>
        </w:rPr>
        <w:tab/>
      </w:r>
    </w:p>
    <w:p w:rsidR="004455EE" w:rsidRPr="004455EE" w:rsidRDefault="004455EE" w:rsidP="004455EE">
      <w:pPr>
        <w:pStyle w:val="Brdtext"/>
        <w:rPr>
          <w:bCs/>
          <w:lang w:bidi="sv-SE"/>
        </w:rPr>
      </w:pPr>
      <w:r w:rsidRPr="004455EE">
        <w:rPr>
          <w:bCs/>
          <w:lang w:bidi="sv-SE"/>
        </w:rPr>
        <w:t>Socialstyrelsen och Sveriges Kommuner och Landsting (SKL) visar jämförelser mellan vården i alla landsting, exempelvis medicinska resultat, patienters erfarenheter, tillgänglighet och kostnader. Resultatet mäts genom 169 olika indikatorer och ska ge stöd för analys, förbättring och styrning. En sammanfattning för resultaten 2012 visar:</w:t>
      </w:r>
    </w:p>
    <w:p w:rsidR="004455EE" w:rsidRPr="004455EE" w:rsidRDefault="004455EE" w:rsidP="004455EE">
      <w:pPr>
        <w:pStyle w:val="Brdtext"/>
        <w:numPr>
          <w:ilvl w:val="0"/>
          <w:numId w:val="25"/>
        </w:numPr>
        <w:rPr>
          <w:bCs/>
          <w:lang w:bidi="sv-SE"/>
        </w:rPr>
      </w:pPr>
      <w:r w:rsidRPr="004455EE">
        <w:rPr>
          <w:bCs/>
          <w:lang w:bidi="sv-SE"/>
        </w:rPr>
        <w:t xml:space="preserve">Jämtlands läns landsting har bättre resultat än genomsnittet på alla indikatorer om läkemedels-behandling till äldre. </w:t>
      </w:r>
    </w:p>
    <w:p w:rsidR="004455EE" w:rsidRPr="004455EE" w:rsidRDefault="004455EE" w:rsidP="004455EE">
      <w:pPr>
        <w:pStyle w:val="Brdtext"/>
        <w:numPr>
          <w:ilvl w:val="0"/>
          <w:numId w:val="25"/>
        </w:numPr>
        <w:rPr>
          <w:bCs/>
          <w:lang w:bidi="sv-SE"/>
        </w:rPr>
      </w:pPr>
      <w:r w:rsidRPr="004455EE">
        <w:rPr>
          <w:bCs/>
          <w:lang w:bidi="sv-SE"/>
        </w:rPr>
        <w:t>I rapporten mäts så kallad undvikbar slutenvård, där Jämtland är bäst i landet (baserar på urvalet alla åldersgrupper). Undvikbar slutenvård bygger på antagandet att om patienter får ett optimalt omhändertagande i den öppna vården, så kan man generellt undvika "onödiga" inläggningar på sjukhus. Mätetalet gäller vissa diagnoser (10 stycken), där man bedömer att rätt polikliniskt omhändertagande i stor utsträckning reducerar behovet av inskrivning på sjukhus.</w:t>
      </w:r>
    </w:p>
    <w:p w:rsidR="004455EE" w:rsidRPr="004455EE" w:rsidRDefault="004455EE" w:rsidP="004455EE">
      <w:pPr>
        <w:pStyle w:val="Brdtext"/>
        <w:numPr>
          <w:ilvl w:val="0"/>
          <w:numId w:val="25"/>
        </w:numPr>
        <w:rPr>
          <w:bCs/>
          <w:lang w:bidi="sv-SE"/>
        </w:rPr>
      </w:pPr>
      <w:r w:rsidRPr="004455EE">
        <w:rPr>
          <w:bCs/>
          <w:lang w:bidi="sv-SE"/>
        </w:rPr>
        <w:t xml:space="preserve">När det gäller hur nöjda patienterna är med tillgången till vård finns det stora skillnader mellan de olika landstingen/regionerna. För Jämtlands del ligger nöjdheten över tillgången till vård något lägre än genomsnittet och förtroendet i jämn nivå med riksgenomsnittet. </w:t>
      </w:r>
    </w:p>
    <w:p w:rsidR="004455EE" w:rsidRPr="004455EE" w:rsidRDefault="004455EE" w:rsidP="004455EE">
      <w:pPr>
        <w:pStyle w:val="Brdtext"/>
        <w:numPr>
          <w:ilvl w:val="0"/>
          <w:numId w:val="25"/>
        </w:numPr>
        <w:rPr>
          <w:bCs/>
          <w:lang w:bidi="sv-SE"/>
        </w:rPr>
      </w:pPr>
      <w:r w:rsidRPr="004455EE">
        <w:rPr>
          <w:bCs/>
          <w:lang w:bidi="sv-SE"/>
        </w:rPr>
        <w:t>Ett annat område värt att nämna är hjärtvården där dödligheten efter hjärtinfarkt minskar i länet, liksom i riket och att invånarna, jämförelsevis med riket, får en bra läkemedelsbehandling vid hjärtsvikt.</w:t>
      </w:r>
    </w:p>
    <w:p w:rsidR="004455EE" w:rsidRPr="004455EE" w:rsidRDefault="004455EE" w:rsidP="004455EE">
      <w:pPr>
        <w:pStyle w:val="Brdtext"/>
        <w:numPr>
          <w:ilvl w:val="0"/>
          <w:numId w:val="25"/>
        </w:numPr>
        <w:rPr>
          <w:bCs/>
          <w:lang w:bidi="sv-SE"/>
        </w:rPr>
      </w:pPr>
      <w:r w:rsidRPr="004455EE">
        <w:rPr>
          <w:bCs/>
          <w:lang w:bidi="sv-SE"/>
        </w:rPr>
        <w:t>När det gäller strokevård börjar resultaten för Jämtland att gå i rätt riktning, även om det fortfarande finns mycket att förbättra. Inom strokevården var det fortfarande få som fått propplösandebehandling 2011. De låga värdena kan bero på att det tar lång tid innan patienterna kommer in och får vård. Under 2012 har det satsats på att sprida budskapet i stroke-kampanjen, så att man söker tidigt vid symptom på stroke. Därtill har vårdkedjan för trombolysbehandling förbättrats så att fler patienter blir aktuella för behandling inom rekommenderat tidsintervall.  JLL har låg andel strokepatienter som uppger att behovet av rehabilitering är tillgodosett 12 månader efter insjuknande. Under slutet av 2012 har mobilt stroketeam införts, som förhoppningsvis kan bidra till att möta rehabiliteringsbehoven bättre framledes.</w:t>
      </w:r>
    </w:p>
    <w:p w:rsidR="004455EE" w:rsidRPr="004455EE" w:rsidRDefault="004455EE" w:rsidP="004455EE">
      <w:pPr>
        <w:pStyle w:val="Brdtext"/>
        <w:numPr>
          <w:ilvl w:val="0"/>
          <w:numId w:val="25"/>
        </w:numPr>
        <w:rPr>
          <w:lang w:bidi="sv-SE"/>
        </w:rPr>
      </w:pPr>
      <w:r w:rsidRPr="004455EE">
        <w:rPr>
          <w:bCs/>
          <w:lang w:bidi="sv-SE"/>
        </w:rPr>
        <w:t xml:space="preserve">För diabetesvård visar indikatorerna däremot ett svagare resultat för Jämtlands läns landsting.  Måluppfyllelse för blodsockervärde vid både typ 1 och typ 2 diabetes ligger lägre än riket, och även lägre jämfört med egna tidigare resultat. Måluppfyllelsen för blodtryck är också lägre i Jämtland jämfört med riket och föregående mätning. Sammanfattningsvis kan man konstatera att JLL inte är lika framgångsrika som andra landsting när det gäller att motivera patienter att sköta sin diabetessjukdom på ett bra sätt. När det gäller amputation vid diabetes ligger JLL däremot bra i förhållande till riket. </w:t>
      </w:r>
    </w:p>
    <w:p w:rsidR="00395170" w:rsidRPr="002722EB" w:rsidRDefault="004455EE" w:rsidP="00BC377E">
      <w:pPr>
        <w:pStyle w:val="Brdtext"/>
        <w:rPr>
          <w:bCs/>
          <w:lang w:bidi="sv-SE"/>
        </w:rPr>
      </w:pPr>
      <w:r w:rsidRPr="004455EE">
        <w:rPr>
          <w:bCs/>
          <w:lang w:bidi="sv-SE"/>
        </w:rPr>
        <w:t>Slutligen finns också det faktum att sjukskrivningstalen för Jämtland är bland de högsta i landet och ytterligare en utmaning i det är att kvinnors sjukskrivningar är högre än männens.</w:t>
      </w:r>
      <w:r w:rsidR="002D5434">
        <w:rPr>
          <w:bCs/>
          <w:lang w:bidi="sv-SE"/>
        </w:rPr>
        <w:tab/>
      </w:r>
    </w:p>
    <w:sectPr w:rsidR="00395170" w:rsidRPr="002722EB" w:rsidSect="002722EB">
      <w:pgSz w:w="16838" w:h="11906" w:orient="landscape" w:code="9"/>
      <w:pgMar w:top="1418" w:right="851" w:bottom="567" w:left="1021" w:header="794" w:footer="6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B24" w:rsidRDefault="00804B24">
      <w:r>
        <w:separator/>
      </w:r>
    </w:p>
  </w:endnote>
  <w:endnote w:type="continuationSeparator" w:id="0">
    <w:p w:rsidR="00804B24" w:rsidRDefault="00804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aramond">
    <w:altName w:val="Times New Roman"/>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24" w:rsidRDefault="00804B24">
    <w:pPr>
      <w:pStyle w:val="Sidfot"/>
      <w:tabs>
        <w:tab w:val="clear" w:pos="4536"/>
        <w:tab w:val="clear" w:pos="9072"/>
        <w:tab w:val="right" w:pos="9809"/>
      </w:tabs>
      <w:ind w:left="-284" w:right="-87"/>
      <w:rPr>
        <w:rFonts w:cs="Tahoma"/>
      </w:rPr>
    </w:pPr>
    <w:r>
      <w:rPr>
        <w:rFonts w:cs="Tahoma"/>
      </w:rPr>
      <w:t xml:space="preserve">Utskrivet: </w:t>
    </w:r>
    <w:r w:rsidR="005F4748">
      <w:rPr>
        <w:rFonts w:cs="Tahoma"/>
      </w:rPr>
      <w:fldChar w:fldCharType="begin"/>
    </w:r>
    <w:r>
      <w:rPr>
        <w:rFonts w:cs="Tahoma"/>
      </w:rPr>
      <w:instrText xml:space="preserve"> DATE \@ "yyyy-MM-dd" </w:instrText>
    </w:r>
    <w:r w:rsidR="005F4748">
      <w:rPr>
        <w:rFonts w:cs="Tahoma"/>
      </w:rPr>
      <w:fldChar w:fldCharType="separate"/>
    </w:r>
    <w:r w:rsidR="00D10586">
      <w:rPr>
        <w:rFonts w:cs="Tahoma"/>
        <w:noProof/>
      </w:rPr>
      <w:t>2015-10-21</w:t>
    </w:r>
    <w:r w:rsidR="005F4748">
      <w:rPr>
        <w:rFonts w:cs="Tahoma"/>
      </w:rPr>
      <w:fldChar w:fldCharType="end"/>
    </w:r>
    <w:r>
      <w:rPr>
        <w:rFonts w:cs="Tahoma"/>
      </w:rPr>
      <w:tab/>
      <w:t>Version: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B24" w:rsidRDefault="00804B24">
      <w:r>
        <w:separator/>
      </w:r>
    </w:p>
  </w:footnote>
  <w:footnote w:type="continuationSeparator" w:id="0">
    <w:p w:rsidR="00804B24" w:rsidRDefault="00804B24">
      <w:r>
        <w:continuationSeparator/>
      </w:r>
    </w:p>
  </w:footnote>
  <w:footnote w:id="1">
    <w:p w:rsidR="00804B24" w:rsidRDefault="00804B24" w:rsidP="00C03900">
      <w:pPr>
        <w:pStyle w:val="Fotnotstext"/>
      </w:pPr>
      <w:r>
        <w:rPr>
          <w:rStyle w:val="Fotnotsreferens"/>
        </w:rPr>
        <w:footnoteRef/>
      </w:r>
      <w:r>
        <w:t xml:space="preserve"> </w:t>
      </w:r>
      <w:r w:rsidRPr="00D352A2">
        <w:t>Riskkonsumenter: För att beräkna riskkonsumtion skapas ett summaindex utifrån hur man besvarat frågorna. Män och kvinnor får olika gränsvärden för när de beräknas ha ett riskbruk.</w:t>
      </w:r>
    </w:p>
  </w:footnote>
  <w:footnote w:id="2">
    <w:p w:rsidR="00804B24" w:rsidRDefault="00804B24" w:rsidP="00C03900">
      <w:pPr>
        <w:pStyle w:val="Fotnotstext"/>
      </w:pPr>
      <w:r>
        <w:rPr>
          <w:rStyle w:val="Fotnotsreferens"/>
        </w:rPr>
        <w:footnoteRef/>
      </w:r>
      <w:r>
        <w:t xml:space="preserve"> </w:t>
      </w:r>
      <w:r w:rsidRPr="00D352A2">
        <w:t>Med övervikt avses personer med BMI över eller lika med 25 och med fetma avses BMI lika med eller över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24" w:rsidRDefault="00804B24" w:rsidP="00E233C3">
    <w:pPr>
      <w:pStyle w:val="Sidhuvud"/>
      <w:tabs>
        <w:tab w:val="left" w:pos="4536"/>
        <w:tab w:val="right" w:pos="9781"/>
      </w:tabs>
      <w:jc w:val="center"/>
      <w:rPr>
        <w:b/>
        <w:sz w:val="18"/>
      </w:rPr>
    </w:pPr>
    <w:r>
      <w:rPr>
        <w:b/>
        <w:sz w:val="18"/>
      </w:rPr>
      <w:tab/>
      <w:t>2013-10-31</w:t>
    </w:r>
  </w:p>
  <w:p w:rsidR="00804B24" w:rsidRDefault="00804B24" w:rsidP="00E233C3">
    <w:pPr>
      <w:pStyle w:val="Sidhuvud"/>
      <w:tabs>
        <w:tab w:val="left" w:pos="4536"/>
        <w:tab w:val="right" w:pos="9781"/>
      </w:tabs>
      <w:jc w:val="center"/>
      <w:rPr>
        <w:b/>
        <w:sz w:val="18"/>
      </w:rPr>
    </w:pPr>
  </w:p>
  <w:p w:rsidR="00804B24" w:rsidRDefault="00804B24" w:rsidP="00E233C3">
    <w:pPr>
      <w:pStyle w:val="Sidhuvud"/>
      <w:tabs>
        <w:tab w:val="left" w:pos="4536"/>
        <w:tab w:val="right" w:pos="9781"/>
      </w:tabs>
      <w:jc w:val="center"/>
      <w:rPr>
        <w:b/>
        <w:sz w:val="18"/>
      </w:rPr>
    </w:pPr>
    <w:r>
      <w:rPr>
        <w:b/>
        <w:sz w:val="18"/>
      </w:rPr>
      <w:t>MÅL FÖR GEMENSAM HÄLSO- OCH SJUKVÅRDSPOLITIK</w:t>
    </w:r>
  </w:p>
  <w:p w:rsidR="00804B24" w:rsidRDefault="00804B24" w:rsidP="00E233C3">
    <w:pPr>
      <w:pStyle w:val="Sidhuvud"/>
      <w:tabs>
        <w:tab w:val="left" w:pos="4536"/>
        <w:tab w:val="right" w:pos="9781"/>
      </w:tabs>
      <w:jc w:val="center"/>
      <w:rPr>
        <w:rFonts w:cs="Tahoma"/>
        <w:sz w:val="18"/>
      </w:rPr>
    </w:pPr>
    <w:r>
      <w:rPr>
        <w:b/>
        <w:sz w:val="18"/>
      </w:rPr>
      <w:t xml:space="preserve">                                      I JÄMTLANDS LÄN 2014-2025</w:t>
    </w:r>
    <w:r>
      <w:rPr>
        <w:rFonts w:cs="Tahoma"/>
        <w:b/>
        <w:sz w:val="18"/>
      </w:rPr>
      <w:t xml:space="preserve"> (LS/726/2012                         </w:t>
    </w:r>
    <w:r>
      <w:rPr>
        <w:rFonts w:cs="Tahoma"/>
        <w:b/>
        <w:sz w:val="18"/>
      </w:rPr>
      <w:tab/>
      <w:t xml:space="preserve"> </w:t>
    </w:r>
    <w:r w:rsidR="005F4748">
      <w:rPr>
        <w:rFonts w:cs="Tahoma"/>
        <w:b/>
        <w:sz w:val="18"/>
      </w:rPr>
      <w:fldChar w:fldCharType="begin"/>
    </w:r>
    <w:r>
      <w:rPr>
        <w:rFonts w:cs="Tahoma"/>
        <w:b/>
        <w:sz w:val="18"/>
      </w:rPr>
      <w:instrText xml:space="preserve"> PAGE </w:instrText>
    </w:r>
    <w:r w:rsidR="005F4748">
      <w:rPr>
        <w:rFonts w:cs="Tahoma"/>
        <w:b/>
        <w:sz w:val="18"/>
      </w:rPr>
      <w:fldChar w:fldCharType="separate"/>
    </w:r>
    <w:r w:rsidR="00067D2D">
      <w:rPr>
        <w:rFonts w:cs="Tahoma"/>
        <w:b/>
        <w:noProof/>
        <w:sz w:val="18"/>
      </w:rPr>
      <w:t>2</w:t>
    </w:r>
    <w:r w:rsidR="005F4748">
      <w:rPr>
        <w:rFonts w:cs="Tahoma"/>
        <w:b/>
        <w:sz w:val="18"/>
      </w:rPr>
      <w:fldChar w:fldCharType="end"/>
    </w:r>
    <w:r>
      <w:rPr>
        <w:rFonts w:cs="Tahoma"/>
        <w:b/>
        <w:sz w:val="18"/>
      </w:rPr>
      <w:t xml:space="preserve"> (</w:t>
    </w:r>
    <w:r w:rsidR="005F4748">
      <w:rPr>
        <w:rStyle w:val="Sidnummer"/>
        <w:rFonts w:cs="Tahoma"/>
        <w:b/>
        <w:sz w:val="18"/>
      </w:rPr>
      <w:fldChar w:fldCharType="begin"/>
    </w:r>
    <w:r>
      <w:rPr>
        <w:rStyle w:val="Sidnummer"/>
        <w:rFonts w:cs="Tahoma"/>
        <w:b/>
        <w:sz w:val="18"/>
      </w:rPr>
      <w:instrText xml:space="preserve"> NUMPAGES </w:instrText>
    </w:r>
    <w:r w:rsidR="005F4748">
      <w:rPr>
        <w:rStyle w:val="Sidnummer"/>
        <w:rFonts w:cs="Tahoma"/>
        <w:b/>
        <w:sz w:val="18"/>
      </w:rPr>
      <w:fldChar w:fldCharType="separate"/>
    </w:r>
    <w:r w:rsidR="00067D2D">
      <w:rPr>
        <w:rStyle w:val="Sidnummer"/>
        <w:rFonts w:cs="Tahoma"/>
        <w:b/>
        <w:noProof/>
        <w:sz w:val="18"/>
      </w:rPr>
      <w:t>21</w:t>
    </w:r>
    <w:r w:rsidR="005F4748">
      <w:rPr>
        <w:rStyle w:val="Sidnummer"/>
        <w:rFonts w:cs="Tahoma"/>
        <w:b/>
        <w:sz w:val="18"/>
      </w:rPr>
      <w:fldChar w:fldCharType="end"/>
    </w:r>
    <w:r>
      <w:rPr>
        <w:rFonts w:cs="Tahoma"/>
        <w:b/>
        <w:sz w:val="18"/>
      </w:rPr>
      <w:t>)</w:t>
    </w:r>
  </w:p>
  <w:p w:rsidR="00804B24" w:rsidRDefault="00804B24" w:rsidP="00F01DE3">
    <w:pPr>
      <w:pStyle w:val="Sidhuvud"/>
      <w:tabs>
        <w:tab w:val="clear" w:pos="9072"/>
        <w:tab w:val="left" w:pos="4536"/>
        <w:tab w:val="right" w:pos="9781"/>
      </w:tabs>
      <w:spacing w:before="60"/>
    </w:pPr>
    <w:r>
      <w:rPr>
        <w:rFonts w:cs="Tahoma"/>
        <w:sz w:val="18"/>
      </w:rPr>
      <w:tab/>
    </w:r>
    <w:r w:rsidR="005F4748">
      <w:rPr>
        <w:noProof/>
      </w:rPr>
      <w:pict>
        <v:line id="_x0000_s2049" style="position:absolute;z-index:251657216;mso-position-horizontal-relative:text;mso-position-vertical-relative:text" from="-3.85pt,7.25pt" to="491.15pt,7.25pt" strokecolor="#00415d"/>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442"/>
      </v:shape>
    </w:pict>
  </w:numPicBullet>
  <w:abstractNum w:abstractNumId="0">
    <w:nsid w:val="FFFFFF88"/>
    <w:multiLevelType w:val="singleLevel"/>
    <w:tmpl w:val="A6C0B8BE"/>
    <w:lvl w:ilvl="0">
      <w:start w:val="1"/>
      <w:numFmt w:val="decimal"/>
      <w:pStyle w:val="Numreradlista"/>
      <w:lvlText w:val="%1."/>
      <w:lvlJc w:val="left"/>
      <w:pPr>
        <w:tabs>
          <w:tab w:val="num" w:pos="454"/>
        </w:tabs>
        <w:ind w:left="454" w:hanging="454"/>
      </w:pPr>
      <w:rPr>
        <w:rFonts w:hint="default"/>
        <w:b/>
        <w:i w:val="0"/>
      </w:rPr>
    </w:lvl>
  </w:abstractNum>
  <w:abstractNum w:abstractNumId="1">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2">
    <w:nsid w:val="03186E3B"/>
    <w:multiLevelType w:val="hybridMultilevel"/>
    <w:tmpl w:val="750476A2"/>
    <w:lvl w:ilvl="0" w:tplc="041D000D">
      <w:start w:val="1"/>
      <w:numFmt w:val="bullet"/>
      <w:lvlText w:val=""/>
      <w:lvlJc w:val="left"/>
      <w:pPr>
        <w:ind w:left="360" w:hanging="360"/>
      </w:pPr>
      <w:rPr>
        <w:rFonts w:ascii="Wingdings" w:hAnsi="Wingdings" w:hint="default"/>
      </w:rPr>
    </w:lvl>
    <w:lvl w:ilvl="1" w:tplc="90CA06FC">
      <w:numFmt w:val="bullet"/>
      <w:lvlText w:val="–"/>
      <w:lvlJc w:val="left"/>
      <w:pPr>
        <w:ind w:left="1080" w:hanging="360"/>
      </w:pPr>
      <w:rPr>
        <w:rFonts w:ascii="Garamond" w:eastAsiaTheme="minorHAnsi" w:hAnsi="Garamond"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6E47740"/>
    <w:multiLevelType w:val="hybridMultilevel"/>
    <w:tmpl w:val="3A961C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15B87973"/>
    <w:multiLevelType w:val="hybridMultilevel"/>
    <w:tmpl w:val="4336BF2E"/>
    <w:lvl w:ilvl="0" w:tplc="0094AEAA">
      <w:start w:val="1"/>
      <w:numFmt w:val="bullet"/>
      <w:pStyle w:val="Punktlista"/>
      <w:lvlText w:val=""/>
      <w:lvlJc w:val="left"/>
      <w:pPr>
        <w:tabs>
          <w:tab w:val="num" w:pos="473"/>
        </w:tabs>
        <w:ind w:left="397" w:hanging="284"/>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8BD4A05"/>
    <w:multiLevelType w:val="multilevel"/>
    <w:tmpl w:val="D908BCF4"/>
    <w:lvl w:ilvl="0">
      <w:start w:val="1"/>
      <w:numFmt w:val="bullet"/>
      <w:lvlText w:val=""/>
      <w:lvlPicBulletId w:val="0"/>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lvl>
    <w:lvl w:ilvl="2">
      <w:start w:val="1"/>
      <w:numFmt w:val="lowerRoman"/>
      <w:lvlText w:val="-"/>
      <w:lvlJc w:val="left"/>
      <w:pPr>
        <w:tabs>
          <w:tab w:val="num" w:pos="1360"/>
        </w:tabs>
        <w:ind w:left="1360" w:hanging="453"/>
      </w:pPr>
    </w:lvl>
    <w:lvl w:ilvl="3">
      <w:start w:val="1"/>
      <w:numFmt w:val="bullet"/>
      <w:lvlText w:val="-"/>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6">
    <w:nsid w:val="1AFF519F"/>
    <w:multiLevelType w:val="hybridMultilevel"/>
    <w:tmpl w:val="0D12DB2E"/>
    <w:lvl w:ilvl="0" w:tplc="6B529792">
      <w:start w:val="1"/>
      <w:numFmt w:val="bullet"/>
      <w:lvlText w:val="-"/>
      <w:lvlJc w:val="left"/>
      <w:pPr>
        <w:ind w:left="720" w:hanging="360"/>
      </w:pPr>
      <w:rPr>
        <w:rFonts w:ascii="AGaramond" w:eastAsia="Times New Roman" w:hAnsi="A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BDC0A8A"/>
    <w:multiLevelType w:val="hybridMultilevel"/>
    <w:tmpl w:val="092AD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D033F0C"/>
    <w:multiLevelType w:val="multilevel"/>
    <w:tmpl w:val="F1C0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F71A0"/>
    <w:multiLevelType w:val="hybridMultilevel"/>
    <w:tmpl w:val="52DA05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085337E"/>
    <w:multiLevelType w:val="hybridMultilevel"/>
    <w:tmpl w:val="69F8DB3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1A55E43"/>
    <w:multiLevelType w:val="hybridMultilevel"/>
    <w:tmpl w:val="D8A81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3041567"/>
    <w:multiLevelType w:val="hybridMultilevel"/>
    <w:tmpl w:val="A1E09CCC"/>
    <w:lvl w:ilvl="0" w:tplc="041D0009">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28207FE2"/>
    <w:multiLevelType w:val="multilevel"/>
    <w:tmpl w:val="ECC00C0A"/>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14">
    <w:nsid w:val="38CA4ED8"/>
    <w:multiLevelType w:val="hybridMultilevel"/>
    <w:tmpl w:val="D29AED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04151AC"/>
    <w:multiLevelType w:val="hybridMultilevel"/>
    <w:tmpl w:val="DACC710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nsid w:val="4B3E58DD"/>
    <w:multiLevelType w:val="hybridMultilevel"/>
    <w:tmpl w:val="AD24C1FC"/>
    <w:lvl w:ilvl="0" w:tplc="041D0009">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4C243B86"/>
    <w:multiLevelType w:val="hybridMultilevel"/>
    <w:tmpl w:val="A6BE73A8"/>
    <w:lvl w:ilvl="0" w:tplc="041D0009">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4F885EEB"/>
    <w:multiLevelType w:val="hybridMultilevel"/>
    <w:tmpl w:val="75CA5E9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16B42EB"/>
    <w:multiLevelType w:val="multilevel"/>
    <w:tmpl w:val="D908BCF4"/>
    <w:lvl w:ilvl="0">
      <w:start w:val="1"/>
      <w:numFmt w:val="bullet"/>
      <w:lvlText w:val=""/>
      <w:lvlPicBulletId w:val="0"/>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lvl>
    <w:lvl w:ilvl="2">
      <w:start w:val="1"/>
      <w:numFmt w:val="lowerRoman"/>
      <w:lvlText w:val="-"/>
      <w:lvlJc w:val="left"/>
      <w:pPr>
        <w:tabs>
          <w:tab w:val="num" w:pos="1360"/>
        </w:tabs>
        <w:ind w:left="1360" w:hanging="453"/>
      </w:pPr>
    </w:lvl>
    <w:lvl w:ilvl="3">
      <w:start w:val="1"/>
      <w:numFmt w:val="bullet"/>
      <w:lvlText w:val="-"/>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0">
    <w:nsid w:val="538C59C4"/>
    <w:multiLevelType w:val="hybridMultilevel"/>
    <w:tmpl w:val="DABA9A94"/>
    <w:lvl w:ilvl="0" w:tplc="0076FDC8">
      <w:start w:val="1"/>
      <w:numFmt w:val="decimal"/>
      <w:pStyle w:val="N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59E5776"/>
    <w:multiLevelType w:val="multilevel"/>
    <w:tmpl w:val="D908BCF4"/>
    <w:lvl w:ilvl="0">
      <w:start w:val="1"/>
      <w:numFmt w:val="bullet"/>
      <w:lvlText w:val=""/>
      <w:lvlPicBulletId w:val="0"/>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lvl>
    <w:lvl w:ilvl="2">
      <w:start w:val="1"/>
      <w:numFmt w:val="lowerRoman"/>
      <w:lvlText w:val="-"/>
      <w:lvlJc w:val="left"/>
      <w:pPr>
        <w:tabs>
          <w:tab w:val="num" w:pos="1360"/>
        </w:tabs>
        <w:ind w:left="1360" w:hanging="453"/>
      </w:pPr>
    </w:lvl>
    <w:lvl w:ilvl="3">
      <w:start w:val="1"/>
      <w:numFmt w:val="bullet"/>
      <w:lvlText w:val="-"/>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2">
    <w:nsid w:val="57F5109A"/>
    <w:multiLevelType w:val="hybridMultilevel"/>
    <w:tmpl w:val="3B14F564"/>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3">
    <w:nsid w:val="5C711EDE"/>
    <w:multiLevelType w:val="hybridMultilevel"/>
    <w:tmpl w:val="ACD62D36"/>
    <w:lvl w:ilvl="0" w:tplc="041D0009">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nsid w:val="5DB70FF8"/>
    <w:multiLevelType w:val="hybridMultilevel"/>
    <w:tmpl w:val="B54EEE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nsid w:val="5FE63A86"/>
    <w:multiLevelType w:val="hybridMultilevel"/>
    <w:tmpl w:val="D7BA97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6AC84815"/>
    <w:multiLevelType w:val="hybridMultilevel"/>
    <w:tmpl w:val="2E468C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nsid w:val="781E590A"/>
    <w:multiLevelType w:val="hybridMultilevel"/>
    <w:tmpl w:val="504CE6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786B6483"/>
    <w:multiLevelType w:val="hybridMultilevel"/>
    <w:tmpl w:val="6F8A8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A1E236F"/>
    <w:multiLevelType w:val="hybridMultilevel"/>
    <w:tmpl w:val="3ED01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A317C71"/>
    <w:multiLevelType w:val="hybridMultilevel"/>
    <w:tmpl w:val="FABEEA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B663CB8"/>
    <w:multiLevelType w:val="hybridMultilevel"/>
    <w:tmpl w:val="D3086872"/>
    <w:lvl w:ilvl="0" w:tplc="A31AC436">
      <w:start w:val="2013"/>
      <w:numFmt w:val="bullet"/>
      <w:lvlText w:val="-"/>
      <w:lvlJc w:val="left"/>
      <w:pPr>
        <w:ind w:left="360" w:hanging="360"/>
      </w:pPr>
      <w:rPr>
        <w:rFonts w:ascii="AGaramond" w:eastAsia="Times New Roman" w:hAnsi="A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nsid w:val="7C132F59"/>
    <w:multiLevelType w:val="hybridMultilevel"/>
    <w:tmpl w:val="BAF87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F663AC8"/>
    <w:multiLevelType w:val="hybridMultilevel"/>
    <w:tmpl w:val="B1F0C6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0"/>
  </w:num>
  <w:num w:numId="4">
    <w:abstractNumId w:val="20"/>
  </w:num>
  <w:num w:numId="5">
    <w:abstractNumId w:val="6"/>
  </w:num>
  <w:num w:numId="6">
    <w:abstractNumId w:val="19"/>
  </w:num>
  <w:num w:numId="7">
    <w:abstractNumId w:val="18"/>
  </w:num>
  <w:num w:numId="8">
    <w:abstractNumId w:val="10"/>
  </w:num>
  <w:num w:numId="9">
    <w:abstractNumId w:val="29"/>
  </w:num>
  <w:num w:numId="10">
    <w:abstractNumId w:val="30"/>
  </w:num>
  <w:num w:numId="11">
    <w:abstractNumId w:val="28"/>
  </w:num>
  <w:num w:numId="12">
    <w:abstractNumId w:val="11"/>
  </w:num>
  <w:num w:numId="13">
    <w:abstractNumId w:val="7"/>
  </w:num>
  <w:num w:numId="14">
    <w:abstractNumId w:val="14"/>
  </w:num>
  <w:num w:numId="15">
    <w:abstractNumId w:val="32"/>
  </w:num>
  <w:num w:numId="16">
    <w:abstractNumId w:val="9"/>
  </w:num>
  <w:num w:numId="17">
    <w:abstractNumId w:val="5"/>
  </w:num>
  <w:num w:numId="18">
    <w:abstractNumId w:val="25"/>
  </w:num>
  <w:num w:numId="19">
    <w:abstractNumId w:val="13"/>
  </w:num>
  <w:num w:numId="20">
    <w:abstractNumId w:val="23"/>
  </w:num>
  <w:num w:numId="21">
    <w:abstractNumId w:val="12"/>
  </w:num>
  <w:num w:numId="22">
    <w:abstractNumId w:val="16"/>
  </w:num>
  <w:num w:numId="23">
    <w:abstractNumId w:val="17"/>
  </w:num>
  <w:num w:numId="24">
    <w:abstractNumId w:val="31"/>
  </w:num>
  <w:num w:numId="25">
    <w:abstractNumId w:val="2"/>
  </w:num>
  <w:num w:numId="26">
    <w:abstractNumId w:val="13"/>
  </w:num>
  <w:num w:numId="27">
    <w:abstractNumId w:val="33"/>
  </w:num>
  <w:num w:numId="28">
    <w:abstractNumId w:val="26"/>
  </w:num>
  <w:num w:numId="29">
    <w:abstractNumId w:val="24"/>
  </w:num>
  <w:num w:numId="30">
    <w:abstractNumId w:val="13"/>
  </w:num>
  <w:num w:numId="31">
    <w:abstractNumId w:val="8"/>
  </w:num>
  <w:num w:numId="32">
    <w:abstractNumId w:val="21"/>
  </w:num>
  <w:num w:numId="33">
    <w:abstractNumId w:val="3"/>
  </w:num>
  <w:num w:numId="34">
    <w:abstractNumId w:val="27"/>
  </w:num>
  <w:num w:numId="35">
    <w:abstractNumId w:val="15"/>
  </w:num>
  <w:num w:numId="36">
    <w:abstractNumId w:val="1"/>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formatting="1" w:enforcement="1"/>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0">
      <o:colormru v:ext="edit" colors="#036,#c60640,#afcaff,#00415d,#a20033"/>
    </o:shapedefaults>
    <o:shapelayout v:ext="edit">
      <o:idmap v:ext="edit" data="2"/>
    </o:shapelayout>
  </w:hdrShapeDefaults>
  <w:footnotePr>
    <w:footnote w:id="-1"/>
    <w:footnote w:id="0"/>
  </w:footnotePr>
  <w:endnotePr>
    <w:endnote w:id="-1"/>
    <w:endnote w:id="0"/>
  </w:endnotePr>
  <w:compat/>
  <w:rsids>
    <w:rsidRoot w:val="003202AC"/>
    <w:rsid w:val="0000547C"/>
    <w:rsid w:val="00005801"/>
    <w:rsid w:val="0000638F"/>
    <w:rsid w:val="000112BA"/>
    <w:rsid w:val="00013FB7"/>
    <w:rsid w:val="00015B36"/>
    <w:rsid w:val="0002009F"/>
    <w:rsid w:val="0002745C"/>
    <w:rsid w:val="0003151C"/>
    <w:rsid w:val="00045563"/>
    <w:rsid w:val="00052506"/>
    <w:rsid w:val="00060AC8"/>
    <w:rsid w:val="00067D2D"/>
    <w:rsid w:val="00071DF7"/>
    <w:rsid w:val="00086E16"/>
    <w:rsid w:val="000901FC"/>
    <w:rsid w:val="000A23E5"/>
    <w:rsid w:val="000A35BB"/>
    <w:rsid w:val="000A5292"/>
    <w:rsid w:val="000B1B74"/>
    <w:rsid w:val="000B2D7D"/>
    <w:rsid w:val="000B5E84"/>
    <w:rsid w:val="000C03E6"/>
    <w:rsid w:val="000C3C86"/>
    <w:rsid w:val="000C4734"/>
    <w:rsid w:val="000C487F"/>
    <w:rsid w:val="000D0524"/>
    <w:rsid w:val="000D5F78"/>
    <w:rsid w:val="000D659C"/>
    <w:rsid w:val="000E68C0"/>
    <w:rsid w:val="000F28CD"/>
    <w:rsid w:val="000F5FAB"/>
    <w:rsid w:val="000F6CB5"/>
    <w:rsid w:val="000F6F6E"/>
    <w:rsid w:val="001012D7"/>
    <w:rsid w:val="001037D3"/>
    <w:rsid w:val="00103A5D"/>
    <w:rsid w:val="001103A5"/>
    <w:rsid w:val="0011189B"/>
    <w:rsid w:val="0011443D"/>
    <w:rsid w:val="00121377"/>
    <w:rsid w:val="0013281D"/>
    <w:rsid w:val="001410E1"/>
    <w:rsid w:val="00152AE0"/>
    <w:rsid w:val="001542D9"/>
    <w:rsid w:val="0015559E"/>
    <w:rsid w:val="001606AA"/>
    <w:rsid w:val="00167FC8"/>
    <w:rsid w:val="00174A50"/>
    <w:rsid w:val="00175977"/>
    <w:rsid w:val="0018565E"/>
    <w:rsid w:val="001A3EF5"/>
    <w:rsid w:val="001B090A"/>
    <w:rsid w:val="001D58D9"/>
    <w:rsid w:val="001D73B3"/>
    <w:rsid w:val="001D7A86"/>
    <w:rsid w:val="001E5FA3"/>
    <w:rsid w:val="001E72BC"/>
    <w:rsid w:val="001E7AF5"/>
    <w:rsid w:val="001E7E97"/>
    <w:rsid w:val="001F0ED2"/>
    <w:rsid w:val="00213F57"/>
    <w:rsid w:val="00217F70"/>
    <w:rsid w:val="0022185B"/>
    <w:rsid w:val="00226167"/>
    <w:rsid w:val="00226E44"/>
    <w:rsid w:val="002278A5"/>
    <w:rsid w:val="00230578"/>
    <w:rsid w:val="00231846"/>
    <w:rsid w:val="002340DF"/>
    <w:rsid w:val="002348C5"/>
    <w:rsid w:val="0023704E"/>
    <w:rsid w:val="00241553"/>
    <w:rsid w:val="0024215F"/>
    <w:rsid w:val="0027129E"/>
    <w:rsid w:val="002722EB"/>
    <w:rsid w:val="002764DD"/>
    <w:rsid w:val="00284FDA"/>
    <w:rsid w:val="00285CDA"/>
    <w:rsid w:val="00292FD7"/>
    <w:rsid w:val="002B14A0"/>
    <w:rsid w:val="002C04C5"/>
    <w:rsid w:val="002C28F4"/>
    <w:rsid w:val="002C3807"/>
    <w:rsid w:val="002C52E0"/>
    <w:rsid w:val="002D0A35"/>
    <w:rsid w:val="002D5434"/>
    <w:rsid w:val="002E089E"/>
    <w:rsid w:val="002E0AE6"/>
    <w:rsid w:val="002E36C1"/>
    <w:rsid w:val="002E59FF"/>
    <w:rsid w:val="00304652"/>
    <w:rsid w:val="003056B0"/>
    <w:rsid w:val="003119EA"/>
    <w:rsid w:val="003202AC"/>
    <w:rsid w:val="00320B6C"/>
    <w:rsid w:val="003224F8"/>
    <w:rsid w:val="003261FA"/>
    <w:rsid w:val="00333242"/>
    <w:rsid w:val="003337F4"/>
    <w:rsid w:val="0033469F"/>
    <w:rsid w:val="003427BC"/>
    <w:rsid w:val="00343AD2"/>
    <w:rsid w:val="003502E6"/>
    <w:rsid w:val="00360976"/>
    <w:rsid w:val="0036325A"/>
    <w:rsid w:val="00363559"/>
    <w:rsid w:val="003643D7"/>
    <w:rsid w:val="00366585"/>
    <w:rsid w:val="00372612"/>
    <w:rsid w:val="003777FA"/>
    <w:rsid w:val="00383570"/>
    <w:rsid w:val="0039147B"/>
    <w:rsid w:val="00395170"/>
    <w:rsid w:val="00395EC5"/>
    <w:rsid w:val="00396D61"/>
    <w:rsid w:val="00396FE9"/>
    <w:rsid w:val="003A23C1"/>
    <w:rsid w:val="003A2ACB"/>
    <w:rsid w:val="003B1EF8"/>
    <w:rsid w:val="003B6526"/>
    <w:rsid w:val="003B6532"/>
    <w:rsid w:val="003D2799"/>
    <w:rsid w:val="003F20EF"/>
    <w:rsid w:val="003F4801"/>
    <w:rsid w:val="004048E2"/>
    <w:rsid w:val="00406644"/>
    <w:rsid w:val="00414961"/>
    <w:rsid w:val="00421748"/>
    <w:rsid w:val="004302EA"/>
    <w:rsid w:val="00435AA3"/>
    <w:rsid w:val="00437323"/>
    <w:rsid w:val="004405AE"/>
    <w:rsid w:val="00442882"/>
    <w:rsid w:val="00444A49"/>
    <w:rsid w:val="004455EE"/>
    <w:rsid w:val="00445A73"/>
    <w:rsid w:val="00447DAF"/>
    <w:rsid w:val="00465E29"/>
    <w:rsid w:val="00484803"/>
    <w:rsid w:val="00486181"/>
    <w:rsid w:val="0049195B"/>
    <w:rsid w:val="0049403F"/>
    <w:rsid w:val="00495426"/>
    <w:rsid w:val="004A16B2"/>
    <w:rsid w:val="004B516A"/>
    <w:rsid w:val="004B64EB"/>
    <w:rsid w:val="004C4138"/>
    <w:rsid w:val="004D0F89"/>
    <w:rsid w:val="004D1BB5"/>
    <w:rsid w:val="004D54EB"/>
    <w:rsid w:val="004D7C68"/>
    <w:rsid w:val="004E0546"/>
    <w:rsid w:val="004E5C3A"/>
    <w:rsid w:val="004F011A"/>
    <w:rsid w:val="004F2E82"/>
    <w:rsid w:val="004F33D2"/>
    <w:rsid w:val="004F414E"/>
    <w:rsid w:val="005017E4"/>
    <w:rsid w:val="00505838"/>
    <w:rsid w:val="005123B3"/>
    <w:rsid w:val="005159C7"/>
    <w:rsid w:val="00517473"/>
    <w:rsid w:val="00520E4A"/>
    <w:rsid w:val="005218C8"/>
    <w:rsid w:val="00525FCE"/>
    <w:rsid w:val="00530159"/>
    <w:rsid w:val="00530601"/>
    <w:rsid w:val="00531520"/>
    <w:rsid w:val="00537BB0"/>
    <w:rsid w:val="00546CE7"/>
    <w:rsid w:val="0055326D"/>
    <w:rsid w:val="00560546"/>
    <w:rsid w:val="00562D11"/>
    <w:rsid w:val="005660EF"/>
    <w:rsid w:val="00566DD3"/>
    <w:rsid w:val="00581EF8"/>
    <w:rsid w:val="00585B10"/>
    <w:rsid w:val="00586B2E"/>
    <w:rsid w:val="00590FA5"/>
    <w:rsid w:val="00597DDD"/>
    <w:rsid w:val="005A1E9F"/>
    <w:rsid w:val="005A6ED4"/>
    <w:rsid w:val="005A73CC"/>
    <w:rsid w:val="005B508A"/>
    <w:rsid w:val="005C049C"/>
    <w:rsid w:val="005C45CF"/>
    <w:rsid w:val="005C5CE3"/>
    <w:rsid w:val="005D586A"/>
    <w:rsid w:val="005D64CA"/>
    <w:rsid w:val="005F3F01"/>
    <w:rsid w:val="005F46E7"/>
    <w:rsid w:val="005F4748"/>
    <w:rsid w:val="005F4D56"/>
    <w:rsid w:val="005F6F26"/>
    <w:rsid w:val="006048E2"/>
    <w:rsid w:val="006063CD"/>
    <w:rsid w:val="006144DC"/>
    <w:rsid w:val="00615C30"/>
    <w:rsid w:val="00621A1C"/>
    <w:rsid w:val="00633997"/>
    <w:rsid w:val="00641E10"/>
    <w:rsid w:val="00651462"/>
    <w:rsid w:val="006A03BB"/>
    <w:rsid w:val="006A6B70"/>
    <w:rsid w:val="006C0478"/>
    <w:rsid w:val="006C1362"/>
    <w:rsid w:val="006C1C32"/>
    <w:rsid w:val="006C5B04"/>
    <w:rsid w:val="006C5BED"/>
    <w:rsid w:val="006D6F8E"/>
    <w:rsid w:val="006E19A7"/>
    <w:rsid w:val="006E4893"/>
    <w:rsid w:val="006F17FE"/>
    <w:rsid w:val="006F7DF6"/>
    <w:rsid w:val="007077EE"/>
    <w:rsid w:val="00713409"/>
    <w:rsid w:val="007208B2"/>
    <w:rsid w:val="00737905"/>
    <w:rsid w:val="00743FB9"/>
    <w:rsid w:val="00750D34"/>
    <w:rsid w:val="00755B7C"/>
    <w:rsid w:val="00773FA4"/>
    <w:rsid w:val="00775A39"/>
    <w:rsid w:val="00782E73"/>
    <w:rsid w:val="00783549"/>
    <w:rsid w:val="007877AC"/>
    <w:rsid w:val="00793991"/>
    <w:rsid w:val="007A05CD"/>
    <w:rsid w:val="007B197A"/>
    <w:rsid w:val="007B2E0E"/>
    <w:rsid w:val="007B3FA6"/>
    <w:rsid w:val="007B73AB"/>
    <w:rsid w:val="007B7BB7"/>
    <w:rsid w:val="007C3E59"/>
    <w:rsid w:val="007C51BB"/>
    <w:rsid w:val="007D0060"/>
    <w:rsid w:val="007D62CF"/>
    <w:rsid w:val="007E03AC"/>
    <w:rsid w:val="007E03E9"/>
    <w:rsid w:val="007E6FBD"/>
    <w:rsid w:val="007E7057"/>
    <w:rsid w:val="007F1C3E"/>
    <w:rsid w:val="007F2DEF"/>
    <w:rsid w:val="008022F8"/>
    <w:rsid w:val="00804B24"/>
    <w:rsid w:val="0080648D"/>
    <w:rsid w:val="0080661F"/>
    <w:rsid w:val="00806849"/>
    <w:rsid w:val="0080716B"/>
    <w:rsid w:val="00814395"/>
    <w:rsid w:val="008422B8"/>
    <w:rsid w:val="00842D75"/>
    <w:rsid w:val="00844466"/>
    <w:rsid w:val="0085525B"/>
    <w:rsid w:val="00870AB1"/>
    <w:rsid w:val="008777A1"/>
    <w:rsid w:val="00877997"/>
    <w:rsid w:val="008A0EC4"/>
    <w:rsid w:val="008A6D16"/>
    <w:rsid w:val="008B56FA"/>
    <w:rsid w:val="008B6E54"/>
    <w:rsid w:val="008B7394"/>
    <w:rsid w:val="008B78C8"/>
    <w:rsid w:val="008C5AB4"/>
    <w:rsid w:val="008D4A32"/>
    <w:rsid w:val="008D5ADB"/>
    <w:rsid w:val="008E2469"/>
    <w:rsid w:val="008F00C1"/>
    <w:rsid w:val="008F01DE"/>
    <w:rsid w:val="008F04E0"/>
    <w:rsid w:val="008F4072"/>
    <w:rsid w:val="008F4C69"/>
    <w:rsid w:val="008F4DD2"/>
    <w:rsid w:val="008F783B"/>
    <w:rsid w:val="00900633"/>
    <w:rsid w:val="00900EF8"/>
    <w:rsid w:val="009164D8"/>
    <w:rsid w:val="009171CB"/>
    <w:rsid w:val="0092258F"/>
    <w:rsid w:val="009226BA"/>
    <w:rsid w:val="00930724"/>
    <w:rsid w:val="00932611"/>
    <w:rsid w:val="009333ED"/>
    <w:rsid w:val="0094181A"/>
    <w:rsid w:val="00944027"/>
    <w:rsid w:val="00947CD5"/>
    <w:rsid w:val="00953980"/>
    <w:rsid w:val="00960762"/>
    <w:rsid w:val="00960E4F"/>
    <w:rsid w:val="00960FC4"/>
    <w:rsid w:val="00962617"/>
    <w:rsid w:val="00964F3F"/>
    <w:rsid w:val="00967A39"/>
    <w:rsid w:val="00980084"/>
    <w:rsid w:val="00986039"/>
    <w:rsid w:val="0099500A"/>
    <w:rsid w:val="009B6BA6"/>
    <w:rsid w:val="009C7084"/>
    <w:rsid w:val="009D2D81"/>
    <w:rsid w:val="009D5228"/>
    <w:rsid w:val="009D6903"/>
    <w:rsid w:val="009E267B"/>
    <w:rsid w:val="009E65C8"/>
    <w:rsid w:val="009F02EE"/>
    <w:rsid w:val="00A00B4B"/>
    <w:rsid w:val="00A12BBC"/>
    <w:rsid w:val="00A168DD"/>
    <w:rsid w:val="00A16A7F"/>
    <w:rsid w:val="00A22A80"/>
    <w:rsid w:val="00A231B4"/>
    <w:rsid w:val="00A236E8"/>
    <w:rsid w:val="00A32E42"/>
    <w:rsid w:val="00A36BC6"/>
    <w:rsid w:val="00A37C98"/>
    <w:rsid w:val="00A468FB"/>
    <w:rsid w:val="00A51BB2"/>
    <w:rsid w:val="00A5333D"/>
    <w:rsid w:val="00A601F5"/>
    <w:rsid w:val="00A641C6"/>
    <w:rsid w:val="00A649B7"/>
    <w:rsid w:val="00A84F89"/>
    <w:rsid w:val="00A85436"/>
    <w:rsid w:val="00A90430"/>
    <w:rsid w:val="00A90D22"/>
    <w:rsid w:val="00A93FD7"/>
    <w:rsid w:val="00A960A3"/>
    <w:rsid w:val="00AA0080"/>
    <w:rsid w:val="00AA0E3B"/>
    <w:rsid w:val="00AA2B5E"/>
    <w:rsid w:val="00AB12A2"/>
    <w:rsid w:val="00AB3FB3"/>
    <w:rsid w:val="00AB4F5A"/>
    <w:rsid w:val="00AB5B09"/>
    <w:rsid w:val="00AC27F4"/>
    <w:rsid w:val="00AC4C03"/>
    <w:rsid w:val="00AD1982"/>
    <w:rsid w:val="00AD61A6"/>
    <w:rsid w:val="00AD6A95"/>
    <w:rsid w:val="00AE0317"/>
    <w:rsid w:val="00AE141D"/>
    <w:rsid w:val="00AE40F1"/>
    <w:rsid w:val="00AE5419"/>
    <w:rsid w:val="00AF5EFA"/>
    <w:rsid w:val="00B0084F"/>
    <w:rsid w:val="00B03470"/>
    <w:rsid w:val="00B07438"/>
    <w:rsid w:val="00B164D0"/>
    <w:rsid w:val="00B267F0"/>
    <w:rsid w:val="00B27E20"/>
    <w:rsid w:val="00B365B0"/>
    <w:rsid w:val="00B4621E"/>
    <w:rsid w:val="00B46253"/>
    <w:rsid w:val="00B47491"/>
    <w:rsid w:val="00B51AA2"/>
    <w:rsid w:val="00B53EAC"/>
    <w:rsid w:val="00B57027"/>
    <w:rsid w:val="00B733F1"/>
    <w:rsid w:val="00B73653"/>
    <w:rsid w:val="00B7743E"/>
    <w:rsid w:val="00B77B9E"/>
    <w:rsid w:val="00B86CD5"/>
    <w:rsid w:val="00B97631"/>
    <w:rsid w:val="00BA5B83"/>
    <w:rsid w:val="00BB0000"/>
    <w:rsid w:val="00BB1F12"/>
    <w:rsid w:val="00BB2002"/>
    <w:rsid w:val="00BB2F00"/>
    <w:rsid w:val="00BB615A"/>
    <w:rsid w:val="00BC03F1"/>
    <w:rsid w:val="00BC377E"/>
    <w:rsid w:val="00BC408F"/>
    <w:rsid w:val="00BD412C"/>
    <w:rsid w:val="00BD4573"/>
    <w:rsid w:val="00BD5710"/>
    <w:rsid w:val="00BD734A"/>
    <w:rsid w:val="00BD7B09"/>
    <w:rsid w:val="00BE4B7A"/>
    <w:rsid w:val="00BF6A80"/>
    <w:rsid w:val="00C03900"/>
    <w:rsid w:val="00C052AF"/>
    <w:rsid w:val="00C065B9"/>
    <w:rsid w:val="00C07B79"/>
    <w:rsid w:val="00C15671"/>
    <w:rsid w:val="00C17E3C"/>
    <w:rsid w:val="00C32102"/>
    <w:rsid w:val="00C32824"/>
    <w:rsid w:val="00C34D0E"/>
    <w:rsid w:val="00C35DC1"/>
    <w:rsid w:val="00C42864"/>
    <w:rsid w:val="00C42B3F"/>
    <w:rsid w:val="00C46651"/>
    <w:rsid w:val="00C46A84"/>
    <w:rsid w:val="00C7742F"/>
    <w:rsid w:val="00C77645"/>
    <w:rsid w:val="00C9236F"/>
    <w:rsid w:val="00CB0572"/>
    <w:rsid w:val="00CB1EEC"/>
    <w:rsid w:val="00CC4BCC"/>
    <w:rsid w:val="00CC5A56"/>
    <w:rsid w:val="00CC7F67"/>
    <w:rsid w:val="00CD594B"/>
    <w:rsid w:val="00CE25CF"/>
    <w:rsid w:val="00CF3A03"/>
    <w:rsid w:val="00CF5E66"/>
    <w:rsid w:val="00CF7212"/>
    <w:rsid w:val="00D00B7B"/>
    <w:rsid w:val="00D01AD7"/>
    <w:rsid w:val="00D0594C"/>
    <w:rsid w:val="00D10586"/>
    <w:rsid w:val="00D1550C"/>
    <w:rsid w:val="00D16B24"/>
    <w:rsid w:val="00D17FE9"/>
    <w:rsid w:val="00D216C9"/>
    <w:rsid w:val="00D42732"/>
    <w:rsid w:val="00D63B9E"/>
    <w:rsid w:val="00D70A06"/>
    <w:rsid w:val="00D7325A"/>
    <w:rsid w:val="00D766E5"/>
    <w:rsid w:val="00D821B6"/>
    <w:rsid w:val="00D82BAB"/>
    <w:rsid w:val="00D8307E"/>
    <w:rsid w:val="00D96197"/>
    <w:rsid w:val="00D97A04"/>
    <w:rsid w:val="00DA2911"/>
    <w:rsid w:val="00DA3B9C"/>
    <w:rsid w:val="00DB01A5"/>
    <w:rsid w:val="00DB5205"/>
    <w:rsid w:val="00DE00F3"/>
    <w:rsid w:val="00DE76F2"/>
    <w:rsid w:val="00DF1194"/>
    <w:rsid w:val="00DF4FA2"/>
    <w:rsid w:val="00E06A91"/>
    <w:rsid w:val="00E077EF"/>
    <w:rsid w:val="00E21A69"/>
    <w:rsid w:val="00E22E38"/>
    <w:rsid w:val="00E233C3"/>
    <w:rsid w:val="00E23564"/>
    <w:rsid w:val="00E336E7"/>
    <w:rsid w:val="00E349CA"/>
    <w:rsid w:val="00E37557"/>
    <w:rsid w:val="00E414DF"/>
    <w:rsid w:val="00E558CA"/>
    <w:rsid w:val="00E61DC8"/>
    <w:rsid w:val="00E64373"/>
    <w:rsid w:val="00E6462F"/>
    <w:rsid w:val="00E64A28"/>
    <w:rsid w:val="00E71570"/>
    <w:rsid w:val="00E7201F"/>
    <w:rsid w:val="00E73C3D"/>
    <w:rsid w:val="00E7637E"/>
    <w:rsid w:val="00E83EB1"/>
    <w:rsid w:val="00E90692"/>
    <w:rsid w:val="00E94F4B"/>
    <w:rsid w:val="00E96117"/>
    <w:rsid w:val="00E96C76"/>
    <w:rsid w:val="00EC0A2E"/>
    <w:rsid w:val="00EC47FB"/>
    <w:rsid w:val="00EC4B81"/>
    <w:rsid w:val="00EC5109"/>
    <w:rsid w:val="00ED4AF3"/>
    <w:rsid w:val="00EE5AD7"/>
    <w:rsid w:val="00EE77A9"/>
    <w:rsid w:val="00EF7C93"/>
    <w:rsid w:val="00F01DE3"/>
    <w:rsid w:val="00F04516"/>
    <w:rsid w:val="00F147BE"/>
    <w:rsid w:val="00F16343"/>
    <w:rsid w:val="00F20F13"/>
    <w:rsid w:val="00F32125"/>
    <w:rsid w:val="00F32D7F"/>
    <w:rsid w:val="00F36827"/>
    <w:rsid w:val="00F40518"/>
    <w:rsid w:val="00F47BCF"/>
    <w:rsid w:val="00F5059B"/>
    <w:rsid w:val="00F67B82"/>
    <w:rsid w:val="00F87BBC"/>
    <w:rsid w:val="00F90035"/>
    <w:rsid w:val="00F93A3A"/>
    <w:rsid w:val="00FA4347"/>
    <w:rsid w:val="00FA6096"/>
    <w:rsid w:val="00FA6583"/>
    <w:rsid w:val="00FB012A"/>
    <w:rsid w:val="00FB1CBB"/>
    <w:rsid w:val="00FB54C1"/>
    <w:rsid w:val="00FB7328"/>
    <w:rsid w:val="00FC48EB"/>
    <w:rsid w:val="00FC6C73"/>
    <w:rsid w:val="00FC705E"/>
    <w:rsid w:val="00FC7CB9"/>
    <w:rsid w:val="00FD389F"/>
    <w:rsid w:val="00FD4789"/>
    <w:rsid w:val="00FE2FB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6,#c60640,#afcaff,#00415d,#a200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rdtext"/>
    <w:qFormat/>
    <w:rsid w:val="00213F57"/>
    <w:rPr>
      <w:rFonts w:ascii="AGaramond" w:hAnsi="AGaramond"/>
      <w:sz w:val="24"/>
    </w:rPr>
  </w:style>
  <w:style w:type="paragraph" w:styleId="Rubrik1">
    <w:name w:val="heading 1"/>
    <w:basedOn w:val="Brdtext"/>
    <w:next w:val="Brdtext"/>
    <w:qFormat/>
    <w:rsid w:val="00213F57"/>
    <w:pPr>
      <w:keepNext/>
      <w:numPr>
        <w:numId w:val="1"/>
      </w:numPr>
      <w:pBdr>
        <w:bottom w:val="single" w:sz="18" w:space="3" w:color="A20033"/>
      </w:pBdr>
      <w:spacing w:before="240" w:after="840"/>
      <w:ind w:right="624"/>
      <w:outlineLvl w:val="0"/>
    </w:pPr>
    <w:rPr>
      <w:rFonts w:ascii="Tahoma" w:hAnsi="Tahoma" w:cs="Arial"/>
      <w:b/>
      <w:bCs/>
      <w:smallCaps/>
      <w:kern w:val="32"/>
      <w:sz w:val="40"/>
      <w:szCs w:val="32"/>
    </w:rPr>
  </w:style>
  <w:style w:type="paragraph" w:styleId="Rubrik2">
    <w:name w:val="heading 2"/>
    <w:basedOn w:val="Brdtext"/>
    <w:next w:val="Brdtext"/>
    <w:link w:val="Rubrik2Char"/>
    <w:autoRedefine/>
    <w:qFormat/>
    <w:rsid w:val="00F01DE3"/>
    <w:pPr>
      <w:keepNext/>
      <w:numPr>
        <w:ilvl w:val="1"/>
        <w:numId w:val="1"/>
      </w:numPr>
      <w:spacing w:before="400" w:after="280"/>
      <w:outlineLvl w:val="1"/>
    </w:pPr>
    <w:rPr>
      <w:rFonts w:ascii="Tahoma" w:hAnsi="Tahoma" w:cs="Tahoma"/>
      <w:b/>
      <w:bCs/>
      <w:caps/>
      <w:color w:val="000000" w:themeColor="text1"/>
      <w:szCs w:val="28"/>
    </w:rPr>
  </w:style>
  <w:style w:type="paragraph" w:styleId="Rubrik3">
    <w:name w:val="heading 3"/>
    <w:basedOn w:val="Brdtext"/>
    <w:next w:val="Brdtext"/>
    <w:qFormat/>
    <w:rsid w:val="00213F57"/>
    <w:pPr>
      <w:keepNext/>
      <w:numPr>
        <w:ilvl w:val="2"/>
        <w:numId w:val="1"/>
      </w:numPr>
      <w:spacing w:before="360" w:after="240"/>
      <w:outlineLvl w:val="2"/>
    </w:pPr>
    <w:rPr>
      <w:rFonts w:ascii="Tahoma" w:hAnsi="Tahoma" w:cs="Tahoma"/>
      <w:b/>
      <w:bCs/>
      <w:szCs w:val="26"/>
    </w:rPr>
  </w:style>
  <w:style w:type="paragraph" w:styleId="Rubrik4">
    <w:name w:val="heading 4"/>
    <w:basedOn w:val="Brdtext"/>
    <w:next w:val="Brdtext"/>
    <w:qFormat/>
    <w:rsid w:val="00213F57"/>
    <w:pPr>
      <w:keepNext/>
      <w:numPr>
        <w:ilvl w:val="3"/>
        <w:numId w:val="1"/>
      </w:numPr>
      <w:tabs>
        <w:tab w:val="clear" w:pos="864"/>
      </w:tabs>
      <w:spacing w:before="360" w:after="240"/>
      <w:ind w:left="1134" w:hanging="1134"/>
      <w:outlineLvl w:val="3"/>
    </w:pPr>
    <w:rPr>
      <w:rFonts w:ascii="Tahoma" w:hAnsi="Tahoma" w:cs="Tahoma"/>
      <w:b/>
      <w:bCs/>
      <w:szCs w:val="28"/>
    </w:rPr>
  </w:style>
  <w:style w:type="paragraph" w:styleId="Rubrik5">
    <w:name w:val="heading 5"/>
    <w:basedOn w:val="Normal"/>
    <w:next w:val="Normal"/>
    <w:qFormat/>
    <w:rsid w:val="00213F57"/>
    <w:pPr>
      <w:spacing w:before="240" w:after="60"/>
      <w:ind w:left="6804"/>
      <w:outlineLvl w:val="4"/>
    </w:pPr>
    <w:rPr>
      <w:rFonts w:ascii="Tahoma" w:hAnsi="Tahoma"/>
      <w:sz w:val="6"/>
      <w:szCs w:val="26"/>
    </w:rPr>
  </w:style>
  <w:style w:type="paragraph" w:styleId="Rubrik6">
    <w:name w:val="heading 6"/>
    <w:basedOn w:val="Rubrik5"/>
    <w:next w:val="Normal"/>
    <w:qFormat/>
    <w:rsid w:val="00213F57"/>
    <w:pPr>
      <w:outlineLvl w:val="5"/>
    </w:pPr>
    <w:rPr>
      <w:szCs w:val="22"/>
    </w:rPr>
  </w:style>
  <w:style w:type="paragraph" w:styleId="Rubrik7">
    <w:name w:val="heading 7"/>
    <w:basedOn w:val="Normal"/>
    <w:next w:val="Normal"/>
    <w:qFormat/>
    <w:rsid w:val="00213F57"/>
    <w:pPr>
      <w:spacing w:before="240" w:after="60"/>
      <w:ind w:left="6804"/>
      <w:outlineLvl w:val="6"/>
    </w:pPr>
    <w:rPr>
      <w:rFonts w:ascii="Tahoma" w:hAnsi="Tahoma" w:cs="Tahoma"/>
      <w:sz w:val="6"/>
      <w:szCs w:val="24"/>
    </w:rPr>
  </w:style>
  <w:style w:type="paragraph" w:styleId="Rubrik8">
    <w:name w:val="heading 8"/>
    <w:basedOn w:val="Normal"/>
    <w:next w:val="Normal"/>
    <w:qFormat/>
    <w:rsid w:val="00213F57"/>
    <w:pPr>
      <w:spacing w:before="240" w:after="60"/>
      <w:ind w:left="6804"/>
      <w:outlineLvl w:val="7"/>
    </w:pPr>
    <w:rPr>
      <w:sz w:val="6"/>
      <w:szCs w:val="24"/>
    </w:rPr>
  </w:style>
  <w:style w:type="paragraph" w:styleId="Rubrik9">
    <w:name w:val="heading 9"/>
    <w:basedOn w:val="Normal"/>
    <w:next w:val="Normal"/>
    <w:qFormat/>
    <w:rsid w:val="00213F57"/>
    <w:pPr>
      <w:spacing w:before="240" w:after="60"/>
      <w:ind w:left="6804"/>
      <w:outlineLvl w:val="8"/>
    </w:pPr>
    <w:rPr>
      <w:rFonts w:cs="Arial"/>
      <w:sz w:val="6"/>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3F57"/>
    <w:pPr>
      <w:tabs>
        <w:tab w:val="center" w:pos="4536"/>
        <w:tab w:val="right" w:pos="9072"/>
      </w:tabs>
    </w:pPr>
    <w:rPr>
      <w:rFonts w:ascii="Tahoma" w:hAnsi="Tahoma"/>
      <w:sz w:val="16"/>
    </w:rPr>
  </w:style>
  <w:style w:type="paragraph" w:styleId="Brdtext">
    <w:name w:val="Body Text"/>
    <w:basedOn w:val="Normal"/>
    <w:link w:val="BrdtextChar"/>
    <w:semiHidden/>
    <w:rsid w:val="00213F57"/>
    <w:pPr>
      <w:spacing w:after="160"/>
    </w:pPr>
  </w:style>
  <w:style w:type="paragraph" w:styleId="Punktlista">
    <w:name w:val="List Bullet"/>
    <w:basedOn w:val="Brdtext"/>
    <w:semiHidden/>
    <w:rsid w:val="00213F57"/>
    <w:pPr>
      <w:numPr>
        <w:numId w:val="2"/>
      </w:numPr>
      <w:tabs>
        <w:tab w:val="clear" w:pos="473"/>
      </w:tabs>
      <w:spacing w:after="120"/>
      <w:ind w:left="624" w:hanging="454"/>
    </w:pPr>
  </w:style>
  <w:style w:type="paragraph" w:styleId="Numreradlista">
    <w:name w:val="List Number"/>
    <w:basedOn w:val="Normal"/>
    <w:semiHidden/>
    <w:rsid w:val="00213F57"/>
    <w:pPr>
      <w:numPr>
        <w:numId w:val="3"/>
      </w:numPr>
      <w:tabs>
        <w:tab w:val="clear" w:pos="454"/>
      </w:tabs>
      <w:spacing w:after="120"/>
      <w:ind w:left="624"/>
    </w:pPr>
  </w:style>
  <w:style w:type="paragraph" w:styleId="Sidfot">
    <w:name w:val="footer"/>
    <w:basedOn w:val="Normal"/>
    <w:semiHidden/>
    <w:rsid w:val="00213F57"/>
    <w:pPr>
      <w:tabs>
        <w:tab w:val="center" w:pos="4536"/>
        <w:tab w:val="right" w:pos="9072"/>
      </w:tabs>
    </w:pPr>
    <w:rPr>
      <w:rFonts w:ascii="Tahoma" w:hAnsi="Tahoma"/>
      <w:sz w:val="16"/>
    </w:rPr>
  </w:style>
  <w:style w:type="character" w:styleId="Sidnummer">
    <w:name w:val="page number"/>
    <w:basedOn w:val="Standardstycketeckensnitt"/>
    <w:semiHidden/>
    <w:rsid w:val="00213F57"/>
  </w:style>
  <w:style w:type="paragraph" w:styleId="Innehll1">
    <w:name w:val="toc 1"/>
    <w:basedOn w:val="Normal"/>
    <w:next w:val="Normal"/>
    <w:autoRedefine/>
    <w:uiPriority w:val="39"/>
    <w:rsid w:val="00213F57"/>
    <w:pPr>
      <w:tabs>
        <w:tab w:val="left" w:pos="720"/>
        <w:tab w:val="right" w:leader="dot" w:pos="9912"/>
      </w:tabs>
      <w:spacing w:before="120" w:after="120"/>
      <w:ind w:left="142"/>
    </w:pPr>
    <w:rPr>
      <w:rFonts w:ascii="Tahoma" w:hAnsi="Tahoma"/>
      <w:b/>
      <w:caps/>
      <w:noProof/>
      <w:szCs w:val="40"/>
    </w:rPr>
  </w:style>
  <w:style w:type="paragraph" w:customStyle="1" w:styleId="JLLrubrik">
    <w:name w:val="JLLrubrik"/>
    <w:basedOn w:val="Normal"/>
    <w:rsid w:val="00213F57"/>
    <w:pPr>
      <w:spacing w:before="120"/>
      <w:ind w:right="17"/>
      <w:jc w:val="center"/>
    </w:pPr>
    <w:rPr>
      <w:rFonts w:ascii="Tahoma" w:hAnsi="Tahoma" w:cs="Tahoma"/>
      <w:b/>
      <w:smallCaps/>
      <w:sz w:val="40"/>
    </w:rPr>
  </w:style>
  <w:style w:type="paragraph" w:styleId="Innehll2">
    <w:name w:val="toc 2"/>
    <w:basedOn w:val="Normal"/>
    <w:next w:val="Normal"/>
    <w:autoRedefine/>
    <w:uiPriority w:val="39"/>
    <w:rsid w:val="00213F57"/>
    <w:pPr>
      <w:tabs>
        <w:tab w:val="left" w:pos="960"/>
        <w:tab w:val="right" w:leader="dot" w:pos="9912"/>
      </w:tabs>
      <w:spacing w:before="60" w:after="60"/>
      <w:ind w:left="227"/>
    </w:pPr>
    <w:rPr>
      <w:rFonts w:ascii="Tahoma" w:hAnsi="Tahoma"/>
      <w:b/>
      <w:caps/>
      <w:noProof/>
      <w:sz w:val="22"/>
    </w:rPr>
  </w:style>
  <w:style w:type="paragraph" w:styleId="Innehll3">
    <w:name w:val="toc 3"/>
    <w:basedOn w:val="Normal"/>
    <w:next w:val="Normal"/>
    <w:autoRedefine/>
    <w:uiPriority w:val="39"/>
    <w:rsid w:val="00213F57"/>
    <w:pPr>
      <w:tabs>
        <w:tab w:val="left" w:pos="1440"/>
        <w:tab w:val="right" w:leader="dot" w:pos="9912"/>
      </w:tabs>
      <w:spacing w:before="40" w:after="40"/>
      <w:ind w:left="482"/>
    </w:pPr>
    <w:rPr>
      <w:rFonts w:ascii="Tahoma" w:hAnsi="Tahoma"/>
      <w:b/>
      <w:noProof/>
      <w:sz w:val="22"/>
      <w:szCs w:val="28"/>
    </w:rPr>
  </w:style>
  <w:style w:type="paragraph" w:styleId="Innehll4">
    <w:name w:val="toc 4"/>
    <w:basedOn w:val="Normal"/>
    <w:next w:val="Normal"/>
    <w:autoRedefine/>
    <w:semiHidden/>
    <w:rsid w:val="00213F57"/>
    <w:pPr>
      <w:tabs>
        <w:tab w:val="left" w:pos="1920"/>
        <w:tab w:val="right" w:leader="dot" w:pos="9912"/>
      </w:tabs>
      <w:spacing w:before="20" w:after="20"/>
      <w:ind w:left="720"/>
    </w:pPr>
    <w:rPr>
      <w:rFonts w:ascii="Tahoma" w:hAnsi="Tahoma"/>
      <w:b/>
      <w:noProof/>
      <w:sz w:val="20"/>
    </w:rPr>
  </w:style>
  <w:style w:type="paragraph" w:styleId="Innehll5">
    <w:name w:val="toc 5"/>
    <w:basedOn w:val="Normal"/>
    <w:next w:val="Normal"/>
    <w:autoRedefine/>
    <w:semiHidden/>
    <w:rsid w:val="00213F57"/>
    <w:pPr>
      <w:ind w:left="960"/>
    </w:pPr>
  </w:style>
  <w:style w:type="paragraph" w:styleId="Innehll6">
    <w:name w:val="toc 6"/>
    <w:basedOn w:val="Normal"/>
    <w:next w:val="Normal"/>
    <w:autoRedefine/>
    <w:semiHidden/>
    <w:rsid w:val="00213F57"/>
    <w:pPr>
      <w:ind w:left="1200"/>
    </w:pPr>
  </w:style>
  <w:style w:type="paragraph" w:styleId="Innehll7">
    <w:name w:val="toc 7"/>
    <w:basedOn w:val="Normal"/>
    <w:next w:val="Normal"/>
    <w:autoRedefine/>
    <w:semiHidden/>
    <w:rsid w:val="00213F57"/>
    <w:pPr>
      <w:ind w:left="1440"/>
    </w:pPr>
  </w:style>
  <w:style w:type="paragraph" w:styleId="Innehll8">
    <w:name w:val="toc 8"/>
    <w:basedOn w:val="Normal"/>
    <w:next w:val="Normal"/>
    <w:autoRedefine/>
    <w:semiHidden/>
    <w:rsid w:val="00213F57"/>
    <w:pPr>
      <w:ind w:left="1680"/>
    </w:pPr>
  </w:style>
  <w:style w:type="paragraph" w:styleId="Innehll9">
    <w:name w:val="toc 9"/>
    <w:basedOn w:val="Normal"/>
    <w:next w:val="Normal"/>
    <w:autoRedefine/>
    <w:semiHidden/>
    <w:rsid w:val="00213F57"/>
    <w:pPr>
      <w:ind w:left="1920"/>
    </w:pPr>
  </w:style>
  <w:style w:type="character" w:styleId="Hyperlnk">
    <w:name w:val="Hyperlink"/>
    <w:basedOn w:val="Standardstycketeckensnitt"/>
    <w:uiPriority w:val="99"/>
    <w:rsid w:val="00213F57"/>
    <w:rPr>
      <w:color w:val="0000FF"/>
      <w:u w:val="single"/>
    </w:rPr>
  </w:style>
  <w:style w:type="paragraph" w:styleId="Fotnotstext">
    <w:name w:val="footnote text"/>
    <w:basedOn w:val="Normal"/>
    <w:link w:val="FotnotstextChar"/>
    <w:uiPriority w:val="99"/>
    <w:semiHidden/>
    <w:rsid w:val="00213F57"/>
    <w:rPr>
      <w:rFonts w:ascii="Tahoma" w:hAnsi="Tahoma" w:cs="Tahoma"/>
      <w:sz w:val="16"/>
    </w:rPr>
  </w:style>
  <w:style w:type="character" w:styleId="Fotnotsreferens">
    <w:name w:val="footnote reference"/>
    <w:basedOn w:val="Standardstycketeckensnitt"/>
    <w:uiPriority w:val="99"/>
    <w:semiHidden/>
    <w:rsid w:val="00213F57"/>
    <w:rPr>
      <w:rFonts w:ascii="Tahoma" w:hAnsi="Tahoma" w:cs="Tahoma"/>
      <w:b/>
      <w:bCs/>
      <w:sz w:val="18"/>
      <w:vertAlign w:val="superscript"/>
    </w:rPr>
  </w:style>
  <w:style w:type="character" w:styleId="AnvndHyperlnk">
    <w:name w:val="FollowedHyperlink"/>
    <w:basedOn w:val="Standardstycketeckensnitt"/>
    <w:semiHidden/>
    <w:rsid w:val="00213F57"/>
    <w:rPr>
      <w:color w:val="800080"/>
      <w:u w:val="single"/>
    </w:rPr>
  </w:style>
  <w:style w:type="paragraph" w:styleId="Ballongtext">
    <w:name w:val="Balloon Text"/>
    <w:basedOn w:val="Normal"/>
    <w:link w:val="BallongtextChar"/>
    <w:uiPriority w:val="99"/>
    <w:semiHidden/>
    <w:unhideWhenUsed/>
    <w:rsid w:val="003202AC"/>
    <w:rPr>
      <w:rFonts w:ascii="Tahoma" w:hAnsi="Tahoma" w:cs="Tahoma"/>
      <w:sz w:val="16"/>
      <w:szCs w:val="16"/>
    </w:rPr>
  </w:style>
  <w:style w:type="character" w:customStyle="1" w:styleId="BallongtextChar">
    <w:name w:val="Ballongtext Char"/>
    <w:basedOn w:val="Standardstycketeckensnitt"/>
    <w:link w:val="Ballongtext"/>
    <w:uiPriority w:val="99"/>
    <w:semiHidden/>
    <w:rsid w:val="003202AC"/>
    <w:rPr>
      <w:rFonts w:ascii="Tahoma" w:hAnsi="Tahoma" w:cs="Tahoma"/>
      <w:sz w:val="16"/>
      <w:szCs w:val="16"/>
    </w:rPr>
  </w:style>
  <w:style w:type="paragraph" w:customStyle="1" w:styleId="socextingress">
    <w:name w:val="socextingress"/>
    <w:basedOn w:val="Normal"/>
    <w:uiPriority w:val="99"/>
    <w:rsid w:val="0094181A"/>
    <w:pPr>
      <w:spacing w:before="100" w:beforeAutospacing="1" w:after="100" w:afterAutospacing="1"/>
    </w:pPr>
    <w:rPr>
      <w:rFonts w:ascii="Times New Roman" w:hAnsi="Times New Roman"/>
      <w:szCs w:val="24"/>
    </w:rPr>
  </w:style>
  <w:style w:type="character" w:customStyle="1" w:styleId="normal1">
    <w:name w:val="normal1"/>
    <w:basedOn w:val="Standardstycketeckensnitt"/>
    <w:uiPriority w:val="99"/>
    <w:rsid w:val="0094181A"/>
    <w:rPr>
      <w:rFonts w:ascii="Verdana" w:hAnsi="Verdana" w:cs="Verdana"/>
      <w:color w:val="000000"/>
      <w:sz w:val="24"/>
      <w:szCs w:val="24"/>
      <w:u w:val="none"/>
      <w:effect w:val="none"/>
    </w:rPr>
  </w:style>
  <w:style w:type="paragraph" w:customStyle="1" w:styleId="normal0">
    <w:name w:val="normal"/>
    <w:basedOn w:val="Normal"/>
    <w:uiPriority w:val="99"/>
    <w:rsid w:val="0094181A"/>
    <w:pPr>
      <w:spacing w:line="360" w:lineRule="atLeast"/>
      <w:ind w:right="15"/>
    </w:pPr>
    <w:rPr>
      <w:rFonts w:ascii="Verdana" w:hAnsi="Verdana" w:cs="Verdana"/>
      <w:color w:val="000000"/>
      <w:szCs w:val="24"/>
    </w:rPr>
  </w:style>
  <w:style w:type="character" w:styleId="Kommentarsreferens">
    <w:name w:val="annotation reference"/>
    <w:basedOn w:val="Standardstycketeckensnitt"/>
    <w:uiPriority w:val="99"/>
    <w:semiHidden/>
    <w:unhideWhenUsed/>
    <w:rsid w:val="003F20EF"/>
    <w:rPr>
      <w:sz w:val="16"/>
      <w:szCs w:val="16"/>
    </w:rPr>
  </w:style>
  <w:style w:type="paragraph" w:styleId="Kommentarer">
    <w:name w:val="annotation text"/>
    <w:basedOn w:val="Normal"/>
    <w:link w:val="KommentarerChar"/>
    <w:uiPriority w:val="99"/>
    <w:semiHidden/>
    <w:unhideWhenUsed/>
    <w:rsid w:val="003F20EF"/>
    <w:rPr>
      <w:sz w:val="20"/>
    </w:rPr>
  </w:style>
  <w:style w:type="character" w:customStyle="1" w:styleId="KommentarerChar">
    <w:name w:val="Kommentarer Char"/>
    <w:basedOn w:val="Standardstycketeckensnitt"/>
    <w:link w:val="Kommentarer"/>
    <w:uiPriority w:val="99"/>
    <w:semiHidden/>
    <w:rsid w:val="003F20EF"/>
    <w:rPr>
      <w:rFonts w:ascii="AGaramond" w:hAnsi="AGaramond"/>
    </w:rPr>
  </w:style>
  <w:style w:type="paragraph" w:styleId="Kommentarsmne">
    <w:name w:val="annotation subject"/>
    <w:basedOn w:val="Kommentarer"/>
    <w:next w:val="Kommentarer"/>
    <w:link w:val="KommentarsmneChar"/>
    <w:uiPriority w:val="99"/>
    <w:semiHidden/>
    <w:unhideWhenUsed/>
    <w:rsid w:val="003F20EF"/>
    <w:rPr>
      <w:b/>
      <w:bCs/>
    </w:rPr>
  </w:style>
  <w:style w:type="character" w:customStyle="1" w:styleId="KommentarsmneChar">
    <w:name w:val="Kommentarsämne Char"/>
    <w:basedOn w:val="KommentarerChar"/>
    <w:link w:val="Kommentarsmne"/>
    <w:uiPriority w:val="99"/>
    <w:semiHidden/>
    <w:rsid w:val="003F20EF"/>
    <w:rPr>
      <w:b/>
      <w:bCs/>
    </w:rPr>
  </w:style>
  <w:style w:type="paragraph" w:styleId="Normalwebb">
    <w:name w:val="Normal (Web)"/>
    <w:basedOn w:val="Normal"/>
    <w:uiPriority w:val="99"/>
    <w:semiHidden/>
    <w:unhideWhenUsed/>
    <w:rsid w:val="00013FB7"/>
    <w:pPr>
      <w:spacing w:before="100" w:beforeAutospacing="1" w:after="100" w:afterAutospacing="1"/>
    </w:pPr>
    <w:rPr>
      <w:rFonts w:ascii="Times New Roman" w:hAnsi="Times New Roman"/>
      <w:szCs w:val="24"/>
    </w:rPr>
  </w:style>
  <w:style w:type="paragraph" w:customStyle="1" w:styleId="Nr">
    <w:name w:val="Nr"/>
    <w:basedOn w:val="Normal"/>
    <w:rsid w:val="0080648D"/>
    <w:pPr>
      <w:framePr w:hSpace="142" w:wrap="around" w:vAnchor="page" w:hAnchor="page" w:x="8790" w:y="1169"/>
      <w:numPr>
        <w:numId w:val="4"/>
      </w:numPr>
      <w:ind w:left="0" w:firstLine="0"/>
    </w:pPr>
    <w:rPr>
      <w:rFonts w:ascii="Times" w:eastAsiaTheme="minorEastAsia" w:hAnsi="Times" w:cstheme="minorBidi"/>
      <w:color w:val="000000"/>
      <w:sz w:val="160"/>
      <w:szCs w:val="160"/>
      <w:lang w:eastAsia="en-US" w:bidi="en-US"/>
    </w:rPr>
  </w:style>
  <w:style w:type="character" w:customStyle="1" w:styleId="Rubrik2Char">
    <w:name w:val="Rubrik 2 Char"/>
    <w:basedOn w:val="Standardstycketeckensnitt"/>
    <w:link w:val="Rubrik2"/>
    <w:locked/>
    <w:rsid w:val="00F01DE3"/>
    <w:rPr>
      <w:rFonts w:ascii="Tahoma" w:hAnsi="Tahoma" w:cs="Tahoma"/>
      <w:b/>
      <w:bCs/>
      <w:caps/>
      <w:color w:val="000000" w:themeColor="text1"/>
      <w:sz w:val="24"/>
      <w:szCs w:val="28"/>
    </w:rPr>
  </w:style>
  <w:style w:type="character" w:customStyle="1" w:styleId="BrdtextChar">
    <w:name w:val="Brödtext Char"/>
    <w:basedOn w:val="Standardstycketeckensnitt"/>
    <w:link w:val="Brdtext"/>
    <w:semiHidden/>
    <w:rsid w:val="007077EE"/>
    <w:rPr>
      <w:rFonts w:ascii="AGaramond" w:hAnsi="AGaramond"/>
      <w:sz w:val="24"/>
    </w:rPr>
  </w:style>
  <w:style w:type="paragraph" w:styleId="Rubrik">
    <w:name w:val="Title"/>
    <w:basedOn w:val="Normal"/>
    <w:next w:val="Normal"/>
    <w:link w:val="RubrikChar"/>
    <w:uiPriority w:val="10"/>
    <w:qFormat/>
    <w:rsid w:val="001012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1012D7"/>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E077EF"/>
    <w:rPr>
      <w:rFonts w:ascii="AGaramond" w:hAnsi="AGaramond"/>
      <w:sz w:val="24"/>
    </w:rPr>
  </w:style>
  <w:style w:type="table" w:styleId="Mellanmrktrutnt2-dekorfrg6">
    <w:name w:val="Medium Grid 2 Accent 6"/>
    <w:basedOn w:val="Normaltabell"/>
    <w:uiPriority w:val="68"/>
    <w:rsid w:val="00435AA3"/>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Slutkommentar">
    <w:name w:val="endnote text"/>
    <w:basedOn w:val="Normal"/>
    <w:link w:val="SlutkommentarChar"/>
    <w:semiHidden/>
    <w:rsid w:val="00C03900"/>
    <w:pPr>
      <w:tabs>
        <w:tab w:val="left" w:pos="2552"/>
        <w:tab w:val="left" w:pos="5103"/>
        <w:tab w:val="left" w:pos="7655"/>
        <w:tab w:val="right" w:pos="9356"/>
      </w:tabs>
    </w:pPr>
    <w:rPr>
      <w:rFonts w:ascii="Times New Roman" w:hAnsi="Times New Roman"/>
      <w:sz w:val="20"/>
    </w:rPr>
  </w:style>
  <w:style w:type="character" w:customStyle="1" w:styleId="SlutkommentarChar">
    <w:name w:val="Slutkommentar Char"/>
    <w:basedOn w:val="Standardstycketeckensnitt"/>
    <w:link w:val="Slutkommentar"/>
    <w:semiHidden/>
    <w:rsid w:val="00C03900"/>
  </w:style>
  <w:style w:type="character" w:customStyle="1" w:styleId="FotnotstextChar">
    <w:name w:val="Fotnotstext Char"/>
    <w:basedOn w:val="Standardstycketeckensnitt"/>
    <w:link w:val="Fotnotstext"/>
    <w:uiPriority w:val="99"/>
    <w:semiHidden/>
    <w:rsid w:val="00C03900"/>
    <w:rPr>
      <w:rFonts w:ascii="Tahoma" w:hAnsi="Tahoma" w:cs="Tahoma"/>
      <w:sz w:val="16"/>
    </w:rPr>
  </w:style>
  <w:style w:type="paragraph" w:styleId="Liststycke">
    <w:name w:val="List Paragraph"/>
    <w:basedOn w:val="Normal"/>
    <w:uiPriority w:val="34"/>
    <w:qFormat/>
    <w:rsid w:val="00DB5205"/>
    <w:pPr>
      <w:ind w:left="720"/>
      <w:contextualSpacing/>
    </w:pPr>
  </w:style>
  <w:style w:type="paragraph" w:customStyle="1" w:styleId="JllLptext">
    <w:name w:val="Jll Löptext"/>
    <w:basedOn w:val="Normal"/>
    <w:qFormat/>
    <w:rsid w:val="00E233C3"/>
    <w:rPr>
      <w:rFonts w:ascii="Garamond" w:hAnsi="Garamond"/>
      <w:szCs w:val="24"/>
    </w:rPr>
  </w:style>
  <w:style w:type="table" w:styleId="Tabellrutnt">
    <w:name w:val="Table Grid"/>
    <w:basedOn w:val="Normaltabell"/>
    <w:uiPriority w:val="59"/>
    <w:rsid w:val="00E233C3"/>
    <w:rPr>
      <w:rFonts w:ascii="Tahoma" w:eastAsiaTheme="minorHAnsi" w:hAnsi="Tahoma"/>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722167">
      <w:bodyDiv w:val="1"/>
      <w:marLeft w:val="0"/>
      <w:marRight w:val="0"/>
      <w:marTop w:val="0"/>
      <w:marBottom w:val="0"/>
      <w:divBdr>
        <w:top w:val="none" w:sz="0" w:space="0" w:color="auto"/>
        <w:left w:val="none" w:sz="0" w:space="0" w:color="auto"/>
        <w:bottom w:val="none" w:sz="0" w:space="0" w:color="auto"/>
        <w:right w:val="none" w:sz="0" w:space="0" w:color="auto"/>
      </w:divBdr>
      <w:divsChild>
        <w:div w:id="1325278201">
          <w:marLeft w:val="0"/>
          <w:marRight w:val="0"/>
          <w:marTop w:val="0"/>
          <w:marBottom w:val="0"/>
          <w:divBdr>
            <w:top w:val="none" w:sz="0" w:space="0" w:color="auto"/>
            <w:left w:val="none" w:sz="0" w:space="0" w:color="auto"/>
            <w:bottom w:val="none" w:sz="0" w:space="0" w:color="auto"/>
            <w:right w:val="none" w:sz="0" w:space="0" w:color="auto"/>
          </w:divBdr>
          <w:divsChild>
            <w:div w:id="1216117634">
              <w:marLeft w:val="0"/>
              <w:marRight w:val="0"/>
              <w:marTop w:val="0"/>
              <w:marBottom w:val="0"/>
              <w:divBdr>
                <w:top w:val="none" w:sz="0" w:space="0" w:color="auto"/>
                <w:left w:val="none" w:sz="0" w:space="0" w:color="auto"/>
                <w:bottom w:val="none" w:sz="0" w:space="0" w:color="auto"/>
                <w:right w:val="none" w:sz="0" w:space="0" w:color="auto"/>
              </w:divBdr>
              <w:divsChild>
                <w:div w:id="493110275">
                  <w:marLeft w:val="0"/>
                  <w:marRight w:val="0"/>
                  <w:marTop w:val="0"/>
                  <w:marBottom w:val="0"/>
                  <w:divBdr>
                    <w:top w:val="none" w:sz="0" w:space="0" w:color="auto"/>
                    <w:left w:val="none" w:sz="0" w:space="0" w:color="auto"/>
                    <w:bottom w:val="none" w:sz="0" w:space="0" w:color="auto"/>
                    <w:right w:val="none" w:sz="0" w:space="0" w:color="auto"/>
                  </w:divBdr>
                  <w:divsChild>
                    <w:div w:id="1320036516">
                      <w:marLeft w:val="0"/>
                      <w:marRight w:val="0"/>
                      <w:marTop w:val="0"/>
                      <w:marBottom w:val="0"/>
                      <w:divBdr>
                        <w:top w:val="none" w:sz="0" w:space="0" w:color="auto"/>
                        <w:left w:val="none" w:sz="0" w:space="0" w:color="auto"/>
                        <w:bottom w:val="none" w:sz="0" w:space="0" w:color="auto"/>
                        <w:right w:val="none" w:sz="0" w:space="0" w:color="auto"/>
                      </w:divBdr>
                      <w:divsChild>
                        <w:div w:id="6507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1838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769">
          <w:marLeft w:val="0"/>
          <w:marRight w:val="0"/>
          <w:marTop w:val="0"/>
          <w:marBottom w:val="0"/>
          <w:divBdr>
            <w:top w:val="none" w:sz="0" w:space="0" w:color="auto"/>
            <w:left w:val="none" w:sz="0" w:space="0" w:color="auto"/>
            <w:bottom w:val="none" w:sz="0" w:space="0" w:color="auto"/>
            <w:right w:val="none" w:sz="0" w:space="0" w:color="auto"/>
          </w:divBdr>
          <w:divsChild>
            <w:div w:id="655426032">
              <w:marLeft w:val="0"/>
              <w:marRight w:val="0"/>
              <w:marTop w:val="0"/>
              <w:marBottom w:val="0"/>
              <w:divBdr>
                <w:top w:val="none" w:sz="0" w:space="0" w:color="auto"/>
                <w:left w:val="none" w:sz="0" w:space="0" w:color="auto"/>
                <w:bottom w:val="none" w:sz="0" w:space="0" w:color="auto"/>
                <w:right w:val="none" w:sz="0" w:space="0" w:color="auto"/>
              </w:divBdr>
              <w:divsChild>
                <w:div w:id="2093896007">
                  <w:marLeft w:val="0"/>
                  <w:marRight w:val="0"/>
                  <w:marTop w:val="0"/>
                  <w:marBottom w:val="0"/>
                  <w:divBdr>
                    <w:top w:val="none" w:sz="0" w:space="0" w:color="auto"/>
                    <w:left w:val="none" w:sz="0" w:space="0" w:color="auto"/>
                    <w:bottom w:val="none" w:sz="0" w:space="0" w:color="auto"/>
                    <w:right w:val="none" w:sz="0" w:space="0" w:color="auto"/>
                  </w:divBdr>
                  <w:divsChild>
                    <w:div w:id="1593859515">
                      <w:marLeft w:val="0"/>
                      <w:marRight w:val="0"/>
                      <w:marTop w:val="0"/>
                      <w:marBottom w:val="0"/>
                      <w:divBdr>
                        <w:top w:val="none" w:sz="0" w:space="0" w:color="auto"/>
                        <w:left w:val="none" w:sz="0" w:space="0" w:color="auto"/>
                        <w:bottom w:val="none" w:sz="0" w:space="0" w:color="auto"/>
                        <w:right w:val="none" w:sz="0" w:space="0" w:color="auto"/>
                      </w:divBdr>
                      <w:divsChild>
                        <w:div w:id="12155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36271">
      <w:bodyDiv w:val="1"/>
      <w:marLeft w:val="0"/>
      <w:marRight w:val="0"/>
      <w:marTop w:val="0"/>
      <w:marBottom w:val="0"/>
      <w:divBdr>
        <w:top w:val="none" w:sz="0" w:space="0" w:color="auto"/>
        <w:left w:val="none" w:sz="0" w:space="0" w:color="auto"/>
        <w:bottom w:val="none" w:sz="0" w:space="0" w:color="auto"/>
        <w:right w:val="none" w:sz="0" w:space="0" w:color="auto"/>
      </w:divBdr>
      <w:divsChild>
        <w:div w:id="1300308908">
          <w:marLeft w:val="0"/>
          <w:marRight w:val="0"/>
          <w:marTop w:val="0"/>
          <w:marBottom w:val="0"/>
          <w:divBdr>
            <w:top w:val="none" w:sz="0" w:space="0" w:color="auto"/>
            <w:left w:val="none" w:sz="0" w:space="0" w:color="auto"/>
            <w:bottom w:val="none" w:sz="0" w:space="0" w:color="auto"/>
            <w:right w:val="none" w:sz="0" w:space="0" w:color="auto"/>
          </w:divBdr>
          <w:divsChild>
            <w:div w:id="447361109">
              <w:marLeft w:val="0"/>
              <w:marRight w:val="0"/>
              <w:marTop w:val="0"/>
              <w:marBottom w:val="0"/>
              <w:divBdr>
                <w:top w:val="none" w:sz="0" w:space="0" w:color="auto"/>
                <w:left w:val="none" w:sz="0" w:space="0" w:color="auto"/>
                <w:bottom w:val="none" w:sz="0" w:space="0" w:color="auto"/>
                <w:right w:val="none" w:sz="0" w:space="0" w:color="auto"/>
              </w:divBdr>
              <w:divsChild>
                <w:div w:id="769936084">
                  <w:marLeft w:val="0"/>
                  <w:marRight w:val="0"/>
                  <w:marTop w:val="0"/>
                  <w:marBottom w:val="0"/>
                  <w:divBdr>
                    <w:top w:val="none" w:sz="0" w:space="0" w:color="auto"/>
                    <w:left w:val="none" w:sz="0" w:space="0" w:color="auto"/>
                    <w:bottom w:val="none" w:sz="0" w:space="0" w:color="auto"/>
                    <w:right w:val="none" w:sz="0" w:space="0" w:color="auto"/>
                  </w:divBdr>
                  <w:divsChild>
                    <w:div w:id="1375155962">
                      <w:marLeft w:val="0"/>
                      <w:marRight w:val="0"/>
                      <w:marTop w:val="0"/>
                      <w:marBottom w:val="0"/>
                      <w:divBdr>
                        <w:top w:val="none" w:sz="0" w:space="0" w:color="auto"/>
                        <w:left w:val="none" w:sz="0" w:space="0" w:color="auto"/>
                        <w:bottom w:val="none" w:sz="0" w:space="0" w:color="auto"/>
                        <w:right w:val="none" w:sz="0" w:space="0" w:color="auto"/>
                      </w:divBdr>
                    </w:div>
                  </w:divsChild>
                </w:div>
                <w:div w:id="10055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3375">
      <w:bodyDiv w:val="1"/>
      <w:marLeft w:val="0"/>
      <w:marRight w:val="0"/>
      <w:marTop w:val="0"/>
      <w:marBottom w:val="0"/>
      <w:divBdr>
        <w:top w:val="none" w:sz="0" w:space="0" w:color="auto"/>
        <w:left w:val="none" w:sz="0" w:space="0" w:color="auto"/>
        <w:bottom w:val="none" w:sz="0" w:space="0" w:color="auto"/>
        <w:right w:val="none" w:sz="0" w:space="0" w:color="auto"/>
      </w:divBdr>
      <w:divsChild>
        <w:div w:id="505554737">
          <w:marLeft w:val="0"/>
          <w:marRight w:val="0"/>
          <w:marTop w:val="0"/>
          <w:marBottom w:val="0"/>
          <w:divBdr>
            <w:top w:val="none" w:sz="0" w:space="0" w:color="auto"/>
            <w:left w:val="none" w:sz="0" w:space="0" w:color="auto"/>
            <w:bottom w:val="none" w:sz="0" w:space="0" w:color="auto"/>
            <w:right w:val="none" w:sz="0" w:space="0" w:color="auto"/>
          </w:divBdr>
          <w:divsChild>
            <w:div w:id="1390346978">
              <w:marLeft w:val="0"/>
              <w:marRight w:val="0"/>
              <w:marTop w:val="0"/>
              <w:marBottom w:val="0"/>
              <w:divBdr>
                <w:top w:val="none" w:sz="0" w:space="0" w:color="auto"/>
                <w:left w:val="none" w:sz="0" w:space="0" w:color="auto"/>
                <w:bottom w:val="none" w:sz="0" w:space="0" w:color="auto"/>
                <w:right w:val="none" w:sz="0" w:space="0" w:color="auto"/>
              </w:divBdr>
              <w:divsChild>
                <w:div w:id="927495415">
                  <w:marLeft w:val="0"/>
                  <w:marRight w:val="0"/>
                  <w:marTop w:val="0"/>
                  <w:marBottom w:val="0"/>
                  <w:divBdr>
                    <w:top w:val="none" w:sz="0" w:space="0" w:color="auto"/>
                    <w:left w:val="none" w:sz="0" w:space="0" w:color="auto"/>
                    <w:bottom w:val="none" w:sz="0" w:space="0" w:color="auto"/>
                    <w:right w:val="none" w:sz="0" w:space="0" w:color="auto"/>
                  </w:divBdr>
                  <w:divsChild>
                    <w:div w:id="2069113357">
                      <w:marLeft w:val="0"/>
                      <w:marRight w:val="0"/>
                      <w:marTop w:val="0"/>
                      <w:marBottom w:val="0"/>
                      <w:divBdr>
                        <w:top w:val="none" w:sz="0" w:space="0" w:color="auto"/>
                        <w:left w:val="none" w:sz="0" w:space="0" w:color="auto"/>
                        <w:bottom w:val="none" w:sz="0" w:space="0" w:color="auto"/>
                        <w:right w:val="none" w:sz="0" w:space="0" w:color="auto"/>
                      </w:divBdr>
                      <w:divsChild>
                        <w:div w:id="21211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5481">
      <w:bodyDiv w:val="1"/>
      <w:marLeft w:val="0"/>
      <w:marRight w:val="0"/>
      <w:marTop w:val="0"/>
      <w:marBottom w:val="0"/>
      <w:divBdr>
        <w:top w:val="none" w:sz="0" w:space="0" w:color="auto"/>
        <w:left w:val="none" w:sz="0" w:space="0" w:color="auto"/>
        <w:bottom w:val="none" w:sz="0" w:space="0" w:color="auto"/>
        <w:right w:val="none" w:sz="0" w:space="0" w:color="auto"/>
      </w:divBdr>
      <w:divsChild>
        <w:div w:id="735712249">
          <w:marLeft w:val="0"/>
          <w:marRight w:val="0"/>
          <w:marTop w:val="0"/>
          <w:marBottom w:val="0"/>
          <w:divBdr>
            <w:top w:val="none" w:sz="0" w:space="0" w:color="auto"/>
            <w:left w:val="none" w:sz="0" w:space="0" w:color="auto"/>
            <w:bottom w:val="none" w:sz="0" w:space="0" w:color="auto"/>
            <w:right w:val="none" w:sz="0" w:space="0" w:color="auto"/>
          </w:divBdr>
          <w:divsChild>
            <w:div w:id="2088072378">
              <w:marLeft w:val="0"/>
              <w:marRight w:val="0"/>
              <w:marTop w:val="0"/>
              <w:marBottom w:val="0"/>
              <w:divBdr>
                <w:top w:val="none" w:sz="0" w:space="0" w:color="auto"/>
                <w:left w:val="none" w:sz="0" w:space="0" w:color="auto"/>
                <w:bottom w:val="none" w:sz="0" w:space="0" w:color="auto"/>
                <w:right w:val="none" w:sz="0" w:space="0" w:color="auto"/>
              </w:divBdr>
              <w:divsChild>
                <w:div w:id="1618485110">
                  <w:marLeft w:val="0"/>
                  <w:marRight w:val="0"/>
                  <w:marTop w:val="0"/>
                  <w:marBottom w:val="0"/>
                  <w:divBdr>
                    <w:top w:val="none" w:sz="0" w:space="0" w:color="auto"/>
                    <w:left w:val="none" w:sz="0" w:space="0" w:color="auto"/>
                    <w:bottom w:val="none" w:sz="0" w:space="0" w:color="auto"/>
                    <w:right w:val="none" w:sz="0" w:space="0" w:color="auto"/>
                  </w:divBdr>
                  <w:divsChild>
                    <w:div w:id="208804108">
                      <w:marLeft w:val="0"/>
                      <w:marRight w:val="0"/>
                      <w:marTop w:val="0"/>
                      <w:marBottom w:val="0"/>
                      <w:divBdr>
                        <w:top w:val="none" w:sz="0" w:space="0" w:color="auto"/>
                        <w:left w:val="none" w:sz="0" w:space="0" w:color="auto"/>
                        <w:bottom w:val="none" w:sz="0" w:space="0" w:color="auto"/>
                        <w:right w:val="none" w:sz="0" w:space="0" w:color="auto"/>
                      </w:divBdr>
                      <w:divsChild>
                        <w:div w:id="1249390315">
                          <w:marLeft w:val="0"/>
                          <w:marRight w:val="0"/>
                          <w:marTop w:val="0"/>
                          <w:marBottom w:val="0"/>
                          <w:divBdr>
                            <w:top w:val="none" w:sz="0" w:space="0" w:color="auto"/>
                            <w:left w:val="none" w:sz="0" w:space="0" w:color="auto"/>
                            <w:bottom w:val="none" w:sz="0" w:space="0" w:color="auto"/>
                            <w:right w:val="none" w:sz="0" w:space="0" w:color="auto"/>
                          </w:divBdr>
                          <w:divsChild>
                            <w:div w:id="310906476">
                              <w:marLeft w:val="0"/>
                              <w:marRight w:val="0"/>
                              <w:marTop w:val="0"/>
                              <w:marBottom w:val="0"/>
                              <w:divBdr>
                                <w:top w:val="none" w:sz="0" w:space="0" w:color="auto"/>
                                <w:left w:val="none" w:sz="0" w:space="0" w:color="auto"/>
                                <w:bottom w:val="none" w:sz="0" w:space="0" w:color="auto"/>
                                <w:right w:val="none" w:sz="0" w:space="0" w:color="auto"/>
                              </w:divBdr>
                              <w:divsChild>
                                <w:div w:id="14194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74822">
      <w:bodyDiv w:val="1"/>
      <w:marLeft w:val="0"/>
      <w:marRight w:val="0"/>
      <w:marTop w:val="0"/>
      <w:marBottom w:val="0"/>
      <w:divBdr>
        <w:top w:val="none" w:sz="0" w:space="0" w:color="auto"/>
        <w:left w:val="none" w:sz="0" w:space="0" w:color="auto"/>
        <w:bottom w:val="none" w:sz="0" w:space="0" w:color="auto"/>
        <w:right w:val="none" w:sz="0" w:space="0" w:color="auto"/>
      </w:divBdr>
    </w:div>
    <w:div w:id="1415394546">
      <w:bodyDiv w:val="1"/>
      <w:marLeft w:val="0"/>
      <w:marRight w:val="0"/>
      <w:marTop w:val="0"/>
      <w:marBottom w:val="0"/>
      <w:divBdr>
        <w:top w:val="none" w:sz="0" w:space="0" w:color="auto"/>
        <w:left w:val="none" w:sz="0" w:space="0" w:color="auto"/>
        <w:bottom w:val="none" w:sz="0" w:space="0" w:color="auto"/>
        <w:right w:val="none" w:sz="0" w:space="0" w:color="auto"/>
      </w:divBdr>
      <w:divsChild>
        <w:div w:id="1474059072">
          <w:marLeft w:val="0"/>
          <w:marRight w:val="0"/>
          <w:marTop w:val="0"/>
          <w:marBottom w:val="0"/>
          <w:divBdr>
            <w:top w:val="none" w:sz="0" w:space="0" w:color="auto"/>
            <w:left w:val="none" w:sz="0" w:space="0" w:color="auto"/>
            <w:bottom w:val="none" w:sz="0" w:space="0" w:color="auto"/>
            <w:right w:val="none" w:sz="0" w:space="0" w:color="auto"/>
          </w:divBdr>
          <w:divsChild>
            <w:div w:id="1238049823">
              <w:marLeft w:val="0"/>
              <w:marRight w:val="0"/>
              <w:marTop w:val="0"/>
              <w:marBottom w:val="0"/>
              <w:divBdr>
                <w:top w:val="none" w:sz="0" w:space="0" w:color="auto"/>
                <w:left w:val="none" w:sz="0" w:space="0" w:color="auto"/>
                <w:bottom w:val="none" w:sz="0" w:space="0" w:color="auto"/>
                <w:right w:val="none" w:sz="0" w:space="0" w:color="auto"/>
              </w:divBdr>
              <w:divsChild>
                <w:div w:id="1320962722">
                  <w:marLeft w:val="0"/>
                  <w:marRight w:val="0"/>
                  <w:marTop w:val="0"/>
                  <w:marBottom w:val="0"/>
                  <w:divBdr>
                    <w:top w:val="none" w:sz="0" w:space="0" w:color="auto"/>
                    <w:left w:val="none" w:sz="0" w:space="0" w:color="auto"/>
                    <w:bottom w:val="none" w:sz="0" w:space="0" w:color="auto"/>
                    <w:right w:val="none" w:sz="0" w:space="0" w:color="auto"/>
                  </w:divBdr>
                  <w:divsChild>
                    <w:div w:id="850803658">
                      <w:marLeft w:val="0"/>
                      <w:marRight w:val="0"/>
                      <w:marTop w:val="0"/>
                      <w:marBottom w:val="0"/>
                      <w:divBdr>
                        <w:top w:val="none" w:sz="0" w:space="0" w:color="auto"/>
                        <w:left w:val="none" w:sz="0" w:space="0" w:color="auto"/>
                        <w:bottom w:val="none" w:sz="0" w:space="0" w:color="auto"/>
                        <w:right w:val="none" w:sz="0" w:space="0" w:color="auto"/>
                      </w:divBdr>
                      <w:divsChild>
                        <w:div w:id="14899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4240">
      <w:bodyDiv w:val="1"/>
      <w:marLeft w:val="0"/>
      <w:marRight w:val="0"/>
      <w:marTop w:val="0"/>
      <w:marBottom w:val="0"/>
      <w:divBdr>
        <w:top w:val="none" w:sz="0" w:space="0" w:color="auto"/>
        <w:left w:val="none" w:sz="0" w:space="0" w:color="auto"/>
        <w:bottom w:val="none" w:sz="0" w:space="0" w:color="auto"/>
        <w:right w:val="none" w:sz="0" w:space="0" w:color="auto"/>
      </w:divBdr>
      <w:divsChild>
        <w:div w:id="2062441070">
          <w:marLeft w:val="0"/>
          <w:marRight w:val="0"/>
          <w:marTop w:val="96"/>
          <w:marBottom w:val="96"/>
          <w:divBdr>
            <w:top w:val="none" w:sz="0" w:space="0" w:color="auto"/>
            <w:left w:val="none" w:sz="0" w:space="0" w:color="auto"/>
            <w:bottom w:val="none" w:sz="0" w:space="0" w:color="auto"/>
            <w:right w:val="none" w:sz="0" w:space="0" w:color="auto"/>
          </w:divBdr>
          <w:divsChild>
            <w:div w:id="1042481208">
              <w:marLeft w:val="0"/>
              <w:marRight w:val="0"/>
              <w:marTop w:val="0"/>
              <w:marBottom w:val="0"/>
              <w:divBdr>
                <w:top w:val="none" w:sz="0" w:space="0" w:color="auto"/>
                <w:left w:val="none" w:sz="0" w:space="0" w:color="auto"/>
                <w:bottom w:val="none" w:sz="0" w:space="0" w:color="auto"/>
                <w:right w:val="none" w:sz="0" w:space="0" w:color="auto"/>
              </w:divBdr>
              <w:divsChild>
                <w:div w:id="925769431">
                  <w:marLeft w:val="0"/>
                  <w:marRight w:val="0"/>
                  <w:marTop w:val="0"/>
                  <w:marBottom w:val="0"/>
                  <w:divBdr>
                    <w:top w:val="none" w:sz="0" w:space="0" w:color="auto"/>
                    <w:left w:val="none" w:sz="0" w:space="0" w:color="auto"/>
                    <w:bottom w:val="none" w:sz="0" w:space="0" w:color="auto"/>
                    <w:right w:val="none" w:sz="0" w:space="0" w:color="auto"/>
                  </w:divBdr>
                  <w:divsChild>
                    <w:div w:id="951204256">
                      <w:marLeft w:val="0"/>
                      <w:marRight w:val="0"/>
                      <w:marTop w:val="0"/>
                      <w:marBottom w:val="0"/>
                      <w:divBdr>
                        <w:top w:val="none" w:sz="0" w:space="0" w:color="auto"/>
                        <w:left w:val="none" w:sz="0" w:space="0" w:color="auto"/>
                        <w:bottom w:val="none" w:sz="0" w:space="0" w:color="auto"/>
                        <w:right w:val="none" w:sz="0" w:space="0" w:color="auto"/>
                      </w:divBdr>
                      <w:divsChild>
                        <w:div w:id="1682656893">
                          <w:marLeft w:val="0"/>
                          <w:marRight w:val="0"/>
                          <w:marTop w:val="0"/>
                          <w:marBottom w:val="0"/>
                          <w:divBdr>
                            <w:top w:val="none" w:sz="0" w:space="0" w:color="auto"/>
                            <w:left w:val="single" w:sz="6" w:space="12" w:color="E0B2C1"/>
                            <w:bottom w:val="none" w:sz="0" w:space="0" w:color="auto"/>
                            <w:right w:val="single" w:sz="6" w:space="0" w:color="E0B2C1"/>
                          </w:divBdr>
                          <w:divsChild>
                            <w:div w:id="508712371">
                              <w:marLeft w:val="0"/>
                              <w:marRight w:val="0"/>
                              <w:marTop w:val="0"/>
                              <w:marBottom w:val="0"/>
                              <w:divBdr>
                                <w:top w:val="none" w:sz="0" w:space="0" w:color="auto"/>
                                <w:left w:val="none" w:sz="0" w:space="0" w:color="auto"/>
                                <w:bottom w:val="none" w:sz="0" w:space="0" w:color="auto"/>
                                <w:right w:val="none" w:sz="0" w:space="0" w:color="auto"/>
                              </w:divBdr>
                              <w:divsChild>
                                <w:div w:id="1098938931">
                                  <w:marLeft w:val="0"/>
                                  <w:marRight w:val="0"/>
                                  <w:marTop w:val="0"/>
                                  <w:marBottom w:val="0"/>
                                  <w:divBdr>
                                    <w:top w:val="none" w:sz="0" w:space="0" w:color="auto"/>
                                    <w:left w:val="none" w:sz="0" w:space="0" w:color="auto"/>
                                    <w:bottom w:val="none" w:sz="0" w:space="0" w:color="auto"/>
                                    <w:right w:val="none" w:sz="0" w:space="0" w:color="auto"/>
                                  </w:divBdr>
                                  <w:divsChild>
                                    <w:div w:id="832381079">
                                      <w:marLeft w:val="0"/>
                                      <w:marRight w:val="0"/>
                                      <w:marTop w:val="0"/>
                                      <w:marBottom w:val="0"/>
                                      <w:divBdr>
                                        <w:top w:val="none" w:sz="0" w:space="0" w:color="auto"/>
                                        <w:left w:val="none" w:sz="0" w:space="0" w:color="auto"/>
                                        <w:bottom w:val="single" w:sz="6" w:space="0" w:color="E0B2C1"/>
                                        <w:right w:val="none" w:sz="0" w:space="0" w:color="auto"/>
                                      </w:divBdr>
                                    </w:div>
                                  </w:divsChild>
                                </w:div>
                              </w:divsChild>
                            </w:div>
                          </w:divsChild>
                        </w:div>
                      </w:divsChild>
                    </w:div>
                  </w:divsChild>
                </w:div>
              </w:divsChild>
            </w:div>
          </w:divsChild>
        </w:div>
      </w:divsChild>
    </w:div>
    <w:div w:id="1668363142">
      <w:bodyDiv w:val="1"/>
      <w:marLeft w:val="0"/>
      <w:marRight w:val="0"/>
      <w:marTop w:val="0"/>
      <w:marBottom w:val="0"/>
      <w:divBdr>
        <w:top w:val="none" w:sz="0" w:space="0" w:color="auto"/>
        <w:left w:val="none" w:sz="0" w:space="0" w:color="auto"/>
        <w:bottom w:val="none" w:sz="0" w:space="0" w:color="auto"/>
        <w:right w:val="none" w:sz="0" w:space="0" w:color="auto"/>
      </w:divBdr>
    </w:div>
    <w:div w:id="1911767620">
      <w:bodyDiv w:val="1"/>
      <w:marLeft w:val="0"/>
      <w:marRight w:val="0"/>
      <w:marTop w:val="0"/>
      <w:marBottom w:val="0"/>
      <w:divBdr>
        <w:top w:val="none" w:sz="0" w:space="0" w:color="auto"/>
        <w:left w:val="none" w:sz="0" w:space="0" w:color="auto"/>
        <w:bottom w:val="none" w:sz="0" w:space="0" w:color="auto"/>
        <w:right w:val="none" w:sz="0" w:space="0" w:color="auto"/>
      </w:divBdr>
      <w:divsChild>
        <w:div w:id="370111089">
          <w:marLeft w:val="0"/>
          <w:marRight w:val="0"/>
          <w:marTop w:val="96"/>
          <w:marBottom w:val="96"/>
          <w:divBdr>
            <w:top w:val="none" w:sz="0" w:space="0" w:color="auto"/>
            <w:left w:val="none" w:sz="0" w:space="0" w:color="auto"/>
            <w:bottom w:val="none" w:sz="0" w:space="0" w:color="auto"/>
            <w:right w:val="none" w:sz="0" w:space="0" w:color="auto"/>
          </w:divBdr>
          <w:divsChild>
            <w:div w:id="633366599">
              <w:marLeft w:val="0"/>
              <w:marRight w:val="0"/>
              <w:marTop w:val="0"/>
              <w:marBottom w:val="0"/>
              <w:divBdr>
                <w:top w:val="none" w:sz="0" w:space="0" w:color="auto"/>
                <w:left w:val="none" w:sz="0" w:space="0" w:color="auto"/>
                <w:bottom w:val="none" w:sz="0" w:space="0" w:color="auto"/>
                <w:right w:val="none" w:sz="0" w:space="0" w:color="auto"/>
              </w:divBdr>
              <w:divsChild>
                <w:div w:id="1604922962">
                  <w:marLeft w:val="0"/>
                  <w:marRight w:val="0"/>
                  <w:marTop w:val="0"/>
                  <w:marBottom w:val="0"/>
                  <w:divBdr>
                    <w:top w:val="none" w:sz="0" w:space="0" w:color="auto"/>
                    <w:left w:val="none" w:sz="0" w:space="0" w:color="auto"/>
                    <w:bottom w:val="none" w:sz="0" w:space="0" w:color="auto"/>
                    <w:right w:val="none" w:sz="0" w:space="0" w:color="auto"/>
                  </w:divBdr>
                  <w:divsChild>
                    <w:div w:id="1743332917">
                      <w:marLeft w:val="0"/>
                      <w:marRight w:val="0"/>
                      <w:marTop w:val="0"/>
                      <w:marBottom w:val="0"/>
                      <w:divBdr>
                        <w:top w:val="none" w:sz="0" w:space="0" w:color="auto"/>
                        <w:left w:val="none" w:sz="0" w:space="0" w:color="auto"/>
                        <w:bottom w:val="none" w:sz="0" w:space="0" w:color="auto"/>
                        <w:right w:val="none" w:sz="0" w:space="0" w:color="auto"/>
                      </w:divBdr>
                      <w:divsChild>
                        <w:div w:id="1953704632">
                          <w:marLeft w:val="0"/>
                          <w:marRight w:val="0"/>
                          <w:marTop w:val="0"/>
                          <w:marBottom w:val="0"/>
                          <w:divBdr>
                            <w:top w:val="none" w:sz="0" w:space="0" w:color="auto"/>
                            <w:left w:val="single" w:sz="4" w:space="12" w:color="E0B2C1"/>
                            <w:bottom w:val="none" w:sz="0" w:space="0" w:color="auto"/>
                            <w:right w:val="single" w:sz="4" w:space="0" w:color="E0B2C1"/>
                          </w:divBdr>
                          <w:divsChild>
                            <w:div w:id="193076512">
                              <w:marLeft w:val="0"/>
                              <w:marRight w:val="0"/>
                              <w:marTop w:val="0"/>
                              <w:marBottom w:val="0"/>
                              <w:divBdr>
                                <w:top w:val="none" w:sz="0" w:space="0" w:color="auto"/>
                                <w:left w:val="none" w:sz="0" w:space="0" w:color="auto"/>
                                <w:bottom w:val="none" w:sz="0" w:space="0" w:color="auto"/>
                                <w:right w:val="none" w:sz="0" w:space="0" w:color="auto"/>
                              </w:divBdr>
                              <w:divsChild>
                                <w:div w:id="813523695">
                                  <w:marLeft w:val="0"/>
                                  <w:marRight w:val="0"/>
                                  <w:marTop w:val="0"/>
                                  <w:marBottom w:val="0"/>
                                  <w:divBdr>
                                    <w:top w:val="none" w:sz="0" w:space="0" w:color="auto"/>
                                    <w:left w:val="none" w:sz="0" w:space="0" w:color="auto"/>
                                    <w:bottom w:val="none" w:sz="0" w:space="0" w:color="auto"/>
                                    <w:right w:val="none" w:sz="0" w:space="0" w:color="auto"/>
                                  </w:divBdr>
                                  <w:divsChild>
                                    <w:div w:id="651372398">
                                      <w:marLeft w:val="0"/>
                                      <w:marRight w:val="0"/>
                                      <w:marTop w:val="0"/>
                                      <w:marBottom w:val="0"/>
                                      <w:divBdr>
                                        <w:top w:val="none" w:sz="0" w:space="0" w:color="auto"/>
                                        <w:left w:val="none" w:sz="0" w:space="0" w:color="auto"/>
                                        <w:bottom w:val="single" w:sz="4" w:space="0" w:color="E0B2C1"/>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gunda.se/" TargetMode="External"/><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emf"/><Relationship Id="rId10" Type="http://schemas.openxmlformats.org/officeDocument/2006/relationships/image" Target="media/image3.jpeg"/><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A2FD2-2E47-40DA-A39B-410E51923706}">
  <ds:schemaRefs>
    <ds:schemaRef ds:uri="http://schemas.openxmlformats.org/officeDocument/2006/bibliography"/>
  </ds:schemaRefs>
</ds:datastoreItem>
</file>

<file path=customXml/itemProps2.xml><?xml version="1.0" encoding="utf-8"?>
<ds:datastoreItem xmlns:ds="http://schemas.openxmlformats.org/officeDocument/2006/customXml" ds:itemID="{843EC214-7DA1-4492-AA51-3956CBB9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6044</Words>
  <Characters>38432</Characters>
  <Application>Microsoft Office Word</Application>
  <DocSecurity>8</DocSecurity>
  <Lines>320</Lines>
  <Paragraphs>88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Namnge</vt:lpstr>
      <vt:lpstr>Namnge</vt:lpstr>
    </vt:vector>
  </TitlesOfParts>
  <Company>JLL</Company>
  <LinksUpToDate>false</LinksUpToDate>
  <CharactersWithSpaces>44388</CharactersWithSpaces>
  <SharedDoc>false</SharedDoc>
  <HLinks>
    <vt:vector size="36" baseType="variant">
      <vt:variant>
        <vt:i4>1507388</vt:i4>
      </vt:variant>
      <vt:variant>
        <vt:i4>20</vt:i4>
      </vt:variant>
      <vt:variant>
        <vt:i4>0</vt:i4>
      </vt:variant>
      <vt:variant>
        <vt:i4>5</vt:i4>
      </vt:variant>
      <vt:variant>
        <vt:lpwstr/>
      </vt:variant>
      <vt:variant>
        <vt:lpwstr>_Toc34214297</vt:lpwstr>
      </vt:variant>
      <vt:variant>
        <vt:i4>1441852</vt:i4>
      </vt:variant>
      <vt:variant>
        <vt:i4>14</vt:i4>
      </vt:variant>
      <vt:variant>
        <vt:i4>0</vt:i4>
      </vt:variant>
      <vt:variant>
        <vt:i4>5</vt:i4>
      </vt:variant>
      <vt:variant>
        <vt:lpwstr/>
      </vt:variant>
      <vt:variant>
        <vt:lpwstr>_Toc34214296</vt:lpwstr>
      </vt:variant>
      <vt:variant>
        <vt:i4>1376316</vt:i4>
      </vt:variant>
      <vt:variant>
        <vt:i4>8</vt:i4>
      </vt:variant>
      <vt:variant>
        <vt:i4>0</vt:i4>
      </vt:variant>
      <vt:variant>
        <vt:i4>5</vt:i4>
      </vt:variant>
      <vt:variant>
        <vt:lpwstr/>
      </vt:variant>
      <vt:variant>
        <vt:lpwstr>_Toc34214295</vt:lpwstr>
      </vt:variant>
      <vt:variant>
        <vt:i4>1310780</vt:i4>
      </vt:variant>
      <vt:variant>
        <vt:i4>2</vt:i4>
      </vt:variant>
      <vt:variant>
        <vt:i4>0</vt:i4>
      </vt:variant>
      <vt:variant>
        <vt:i4>5</vt:i4>
      </vt:variant>
      <vt:variant>
        <vt:lpwstr/>
      </vt:variant>
      <vt:variant>
        <vt:lpwstr>_Toc34214294</vt:lpwstr>
      </vt:variant>
      <vt:variant>
        <vt:i4>10747953</vt:i4>
      </vt:variant>
      <vt:variant>
        <vt:i4>1029</vt:i4>
      </vt:variant>
      <vt:variant>
        <vt:i4>1025</vt:i4>
      </vt:variant>
      <vt:variant>
        <vt:i4>1</vt:i4>
      </vt:variant>
      <vt:variant>
        <vt:lpwstr>H:\Mina dokument\Mina bilder\Arbetsbilder\logga mall stående.tif</vt:lpwstr>
      </vt:variant>
      <vt:variant>
        <vt:lpwstr/>
      </vt:variant>
      <vt:variant>
        <vt:i4>2752679</vt:i4>
      </vt:variant>
      <vt:variant>
        <vt:i4>2451</vt:i4>
      </vt:variant>
      <vt:variant>
        <vt:i4>1026</vt:i4>
      </vt:variant>
      <vt:variant>
        <vt:i4>1</vt:i4>
      </vt:variant>
      <vt:variant>
        <vt:lpwstr>..\Mina bilder\Arbetsbilder\JLL_stående.jpg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Namnge</dc:title>
  <dc:creator>injo9</dc:creator>
  <cp:lastModifiedBy>injo9</cp:lastModifiedBy>
  <cp:revision>2</cp:revision>
  <cp:lastPrinted>2014-06-23T08:24:00Z</cp:lastPrinted>
  <dcterms:created xsi:type="dcterms:W3CDTF">2015-10-21T12:16:00Z</dcterms:created>
  <dcterms:modified xsi:type="dcterms:W3CDTF">2015-10-21T12:16:00Z</dcterms:modified>
</cp:coreProperties>
</file>